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Pr="00802E1D"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690D3707" w14:textId="3B04FBE8" w:rsidR="00B55BD6" w:rsidRPr="00802E1D" w:rsidRDefault="00B55BD6" w:rsidP="001F62C7">
      <w:pPr>
        <w:rPr>
          <w:rFonts w:cs="Arial"/>
          <w:sz w:val="28"/>
          <w:szCs w:val="28"/>
        </w:rPr>
      </w:pPr>
    </w:p>
    <w:p w14:paraId="4940D07E" w14:textId="568FAAC8" w:rsidR="00B55BD6" w:rsidRPr="00802E1D" w:rsidRDefault="00F83440" w:rsidP="00F83440">
      <w:pPr>
        <w:tabs>
          <w:tab w:val="left" w:pos="6805"/>
        </w:tabs>
        <w:rPr>
          <w:rFonts w:cs="Arial"/>
          <w:sz w:val="28"/>
          <w:szCs w:val="28"/>
        </w:rPr>
      </w:pPr>
      <w:r w:rsidRPr="00802E1D">
        <w:rPr>
          <w:rFonts w:cs="Arial"/>
          <w:sz w:val="28"/>
          <w:szCs w:val="28"/>
        </w:rPr>
        <w:tab/>
      </w:r>
    </w:p>
    <w:p w14:paraId="38A71A4B" w14:textId="5A4B7BDF" w:rsidR="00B55BD6" w:rsidRPr="00802E1D" w:rsidRDefault="00B55BD6" w:rsidP="00BF043D">
      <w:pPr>
        <w:pStyle w:val="Heading2"/>
        <w:jc w:val="center"/>
      </w:pPr>
    </w:p>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BFBF4D0">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BFBF4D0">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3F331A70" w14:textId="43B4FF15" w:rsidR="004E0F63" w:rsidRPr="00E03F66" w:rsidRDefault="001076C8" w:rsidP="004E0F63">
            <w:pPr>
              <w:rPr>
                <w:color w:val="3B3838" w:themeColor="background2" w:themeShade="40"/>
              </w:rPr>
            </w:pPr>
            <w:r>
              <w:rPr>
                <w:rFonts w:cs="Arial"/>
                <w:color w:val="000000" w:themeColor="text1"/>
              </w:rPr>
              <w:t>New Generation Thinkers 202</w:t>
            </w:r>
            <w:r w:rsidR="0013538D">
              <w:rPr>
                <w:rFonts w:cs="Arial"/>
                <w:color w:val="000000" w:themeColor="text1"/>
              </w:rPr>
              <w:t>6</w:t>
            </w:r>
          </w:p>
        </w:tc>
      </w:tr>
      <w:tr w:rsidR="00E03F66" w:rsidRPr="00E03F66" w14:paraId="606DF4F7" w14:textId="77777777" w:rsidTr="4BFBF4D0">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1A9BFBC3" w:rsidR="00E03F66" w:rsidRPr="00FF6147" w:rsidRDefault="00266EC3" w:rsidP="00623DB3">
            <w:pPr>
              <w:rPr>
                <w:color w:val="3B3838" w:themeColor="background2" w:themeShade="40"/>
              </w:rPr>
            </w:pPr>
            <w:r>
              <w:rPr>
                <w:rFonts w:cs="Arial"/>
                <w:color w:val="000000" w:themeColor="text1"/>
              </w:rPr>
              <w:t>AHRC, Public Engagement &amp; Skills teams</w:t>
            </w:r>
          </w:p>
        </w:tc>
      </w:tr>
      <w:tr w:rsidR="006C13AF" w:rsidRPr="00E03F66" w14:paraId="04B491D4" w14:textId="77777777" w:rsidTr="4BFBF4D0">
        <w:trPr>
          <w:trHeight w:val="1354"/>
        </w:trPr>
        <w:tc>
          <w:tcPr>
            <w:tcW w:w="4673" w:type="dxa"/>
            <w:shd w:val="clear" w:color="auto" w:fill="D1DEFD" w:themeFill="accent3" w:themeFillTint="33"/>
          </w:tcPr>
          <w:p w14:paraId="755B8251" w14:textId="77777777" w:rsidR="006C13AF" w:rsidRPr="00E03F66" w:rsidRDefault="006C13AF" w:rsidP="006C13AF">
            <w:pPr>
              <w:rPr>
                <w:bCs/>
              </w:rPr>
            </w:pPr>
            <w:r w:rsidRPr="00E03F66">
              <w:rPr>
                <w:bCs/>
              </w:rPr>
              <w:t>Aims and objectives of the activity</w:t>
            </w:r>
          </w:p>
          <w:p w14:paraId="52A34E6B" w14:textId="77777777" w:rsidR="006C13AF" w:rsidRPr="00E03F66" w:rsidRDefault="006C13AF" w:rsidP="006C13AF">
            <w:pPr>
              <w:rPr>
                <w:bCs/>
              </w:rPr>
            </w:pPr>
          </w:p>
        </w:tc>
        <w:tc>
          <w:tcPr>
            <w:tcW w:w="10348" w:type="dxa"/>
          </w:tcPr>
          <w:p w14:paraId="5F09BC1B" w14:textId="77777777" w:rsidR="006C13AF" w:rsidRDefault="006C13AF" w:rsidP="006C13AF">
            <w:pPr>
              <w:rPr>
                <w:rFonts w:cs="Arial"/>
                <w:bCs/>
                <w:color w:val="000000" w:themeColor="text1"/>
                <w:lang w:val="en-US"/>
              </w:rPr>
            </w:pPr>
            <w:r>
              <w:rPr>
                <w:rFonts w:cs="Arial"/>
                <w:bCs/>
                <w:color w:val="000000" w:themeColor="text1"/>
              </w:rPr>
              <w:t>The purpose of New Generation Thinkers is to:</w:t>
            </w:r>
          </w:p>
          <w:p w14:paraId="13823BD7" w14:textId="77777777" w:rsidR="006C13AF" w:rsidRDefault="006C13AF" w:rsidP="006C13AF">
            <w:pPr>
              <w:rPr>
                <w:rFonts w:cs="Arial"/>
                <w:bCs/>
                <w:color w:val="000000" w:themeColor="text1"/>
              </w:rPr>
            </w:pPr>
          </w:p>
          <w:p w14:paraId="063E6D64" w14:textId="77777777" w:rsidR="006C13AF" w:rsidRDefault="006C13AF" w:rsidP="006C13AF">
            <w:pPr>
              <w:numPr>
                <w:ilvl w:val="1"/>
                <w:numId w:val="31"/>
              </w:numPr>
              <w:spacing w:line="256" w:lineRule="auto"/>
              <w:rPr>
                <w:rFonts w:cs="Arial"/>
                <w:bCs/>
                <w:color w:val="000000" w:themeColor="text1"/>
              </w:rPr>
            </w:pPr>
            <w:r>
              <w:rPr>
                <w:rFonts w:cs="Arial"/>
                <w:bCs/>
                <w:color w:val="000000" w:themeColor="text1"/>
                <w:lang w:val="en-US"/>
              </w:rPr>
              <w:t>equip exceptional early career researchers in the arts and humanities with the skills and opportunities to engage the public with their research, and provide a platform to reach the widest possible audience; and</w:t>
            </w:r>
          </w:p>
          <w:p w14:paraId="23F75758" w14:textId="77777777" w:rsidR="006C13AF" w:rsidRDefault="006C13AF" w:rsidP="006C13AF">
            <w:pPr>
              <w:numPr>
                <w:ilvl w:val="1"/>
                <w:numId w:val="31"/>
              </w:numPr>
              <w:spacing w:line="256" w:lineRule="auto"/>
              <w:rPr>
                <w:rFonts w:cs="Arial"/>
                <w:bCs/>
                <w:color w:val="000000" w:themeColor="text1"/>
              </w:rPr>
            </w:pPr>
            <w:r>
              <w:rPr>
                <w:rFonts w:cs="Arial"/>
                <w:bCs/>
                <w:color w:val="000000" w:themeColor="text1"/>
                <w:lang w:val="en-US"/>
              </w:rPr>
              <w:t>‘invest in discovering new ways of understanding human culture’ that helps create an environment where arts and humanities people and ideas are diverse, mobile and thrive, leading to an open civil discourse that is encouraged by informed and engaged debate.</w:t>
            </w:r>
          </w:p>
          <w:p w14:paraId="62DE7F6B" w14:textId="77777777" w:rsidR="006C13AF" w:rsidRDefault="006C13AF" w:rsidP="006C13AF">
            <w:pPr>
              <w:rPr>
                <w:rFonts w:cs="Arial"/>
                <w:bCs/>
                <w:color w:val="000000" w:themeColor="text1"/>
                <w:lang w:val="en-US"/>
              </w:rPr>
            </w:pPr>
          </w:p>
          <w:p w14:paraId="0CCB0B68" w14:textId="77777777" w:rsidR="006C13AF" w:rsidRDefault="006C13AF" w:rsidP="006C13AF">
            <w:pPr>
              <w:rPr>
                <w:rFonts w:cs="Arial"/>
                <w:bCs/>
                <w:color w:val="000000" w:themeColor="text1"/>
                <w:lang w:val="en-US"/>
              </w:rPr>
            </w:pPr>
            <w:r>
              <w:rPr>
                <w:rFonts w:cs="Arial"/>
                <w:bCs/>
                <w:color w:val="000000" w:themeColor="text1"/>
                <w:lang w:val="en-US"/>
              </w:rPr>
              <w:t>The scheme has the following objectives:</w:t>
            </w:r>
          </w:p>
          <w:p w14:paraId="64815EF5" w14:textId="77777777" w:rsidR="006C13AF" w:rsidRDefault="006C13AF" w:rsidP="006C13AF">
            <w:pPr>
              <w:rPr>
                <w:rFonts w:cs="Arial"/>
                <w:b/>
                <w:color w:val="000000" w:themeColor="text1"/>
                <w:lang w:val="en-US"/>
              </w:rPr>
            </w:pPr>
          </w:p>
          <w:p w14:paraId="5224D676" w14:textId="77777777" w:rsidR="006C13AF" w:rsidRDefault="006C13AF" w:rsidP="006C13AF">
            <w:pPr>
              <w:numPr>
                <w:ilvl w:val="1"/>
                <w:numId w:val="32"/>
              </w:numPr>
              <w:spacing w:line="256" w:lineRule="auto"/>
              <w:rPr>
                <w:rFonts w:cs="Arial"/>
                <w:bCs/>
                <w:color w:val="000000" w:themeColor="text1"/>
                <w:lang w:val="en-US"/>
              </w:rPr>
            </w:pPr>
            <w:r>
              <w:rPr>
                <w:rFonts w:cs="Arial"/>
                <w:bCs/>
                <w:color w:val="000000" w:themeColor="text1"/>
                <w:lang w:val="en-US"/>
              </w:rPr>
              <w:t>To increase public engagement with new ideas and fresh perspectives from arts and humanities research, leading to improved research, media, and policy outcomes.</w:t>
            </w:r>
          </w:p>
          <w:p w14:paraId="35052E22" w14:textId="77777777" w:rsidR="006C13AF" w:rsidRDefault="006C13AF" w:rsidP="006C13AF">
            <w:pPr>
              <w:numPr>
                <w:ilvl w:val="1"/>
                <w:numId w:val="32"/>
              </w:numPr>
              <w:spacing w:line="256" w:lineRule="auto"/>
              <w:rPr>
                <w:rFonts w:cs="Arial"/>
                <w:bCs/>
                <w:color w:val="000000" w:themeColor="text1"/>
                <w:lang w:val="en-US"/>
              </w:rPr>
            </w:pPr>
            <w:r>
              <w:rPr>
                <w:rFonts w:cs="Arial"/>
                <w:bCs/>
                <w:color w:val="000000" w:themeColor="text1"/>
                <w:lang w:val="en-US"/>
              </w:rPr>
              <w:t>To create innovative opportunities for engagement, communication and thinking about research impacts, that will ultimately improve research and career outcomes for early career researchers.</w:t>
            </w:r>
          </w:p>
          <w:p w14:paraId="72FD911A" w14:textId="5A922E40" w:rsidR="006C13AF" w:rsidRPr="006C13AF" w:rsidRDefault="006C13AF" w:rsidP="006C13AF">
            <w:pPr>
              <w:numPr>
                <w:ilvl w:val="1"/>
                <w:numId w:val="32"/>
              </w:numPr>
              <w:spacing w:line="256" w:lineRule="auto"/>
              <w:rPr>
                <w:rFonts w:cs="Arial"/>
                <w:bCs/>
                <w:color w:val="000000" w:themeColor="text1"/>
                <w:lang w:val="en-US"/>
              </w:rPr>
            </w:pPr>
            <w:r w:rsidRPr="006C13AF">
              <w:rPr>
                <w:rFonts w:cs="Arial"/>
                <w:bCs/>
                <w:color w:val="000000" w:themeColor="text1"/>
                <w:lang w:val="en-US"/>
              </w:rPr>
              <w:t>To create a cohort of researchers that become high-profile advocates for the importance of public engagement in the research community and champion the importance and relevance of arts and humanities research to new and diverse audiences.</w:t>
            </w:r>
          </w:p>
        </w:tc>
      </w:tr>
      <w:tr w:rsidR="006C13AF" w:rsidRPr="00E03F66" w14:paraId="0D97912A" w14:textId="77777777" w:rsidTr="4BFBF4D0">
        <w:trPr>
          <w:trHeight w:val="758"/>
        </w:trPr>
        <w:tc>
          <w:tcPr>
            <w:tcW w:w="4673" w:type="dxa"/>
            <w:shd w:val="clear" w:color="auto" w:fill="D1DEFD" w:themeFill="accent3" w:themeFillTint="33"/>
          </w:tcPr>
          <w:p w14:paraId="1E4B1D67" w14:textId="77777777" w:rsidR="006C13AF" w:rsidRPr="00E03F66" w:rsidRDefault="006C13AF" w:rsidP="006C13AF">
            <w:pPr>
              <w:rPr>
                <w:bCs/>
              </w:rPr>
            </w:pPr>
            <w:r w:rsidRPr="00E03F66">
              <w:rPr>
                <w:bCs/>
              </w:rPr>
              <w:t>Who is affected by your policy/funding activity/event?</w:t>
            </w:r>
          </w:p>
          <w:p w14:paraId="42B3B26A" w14:textId="77777777" w:rsidR="006C13AF" w:rsidRPr="00E03F66" w:rsidDel="00A92DFE" w:rsidRDefault="006C13AF" w:rsidP="006C13AF">
            <w:pPr>
              <w:rPr>
                <w:bCs/>
              </w:rPr>
            </w:pPr>
          </w:p>
        </w:tc>
        <w:tc>
          <w:tcPr>
            <w:tcW w:w="10348" w:type="dxa"/>
          </w:tcPr>
          <w:p w14:paraId="11458D71" w14:textId="1DE162E4" w:rsidR="00BC6997" w:rsidRDefault="00BC6997" w:rsidP="00BC6997">
            <w:pPr>
              <w:rPr>
                <w:rFonts w:cs="Arial"/>
                <w:color w:val="000000" w:themeColor="text1"/>
              </w:rPr>
            </w:pPr>
            <w:r>
              <w:rPr>
                <w:rFonts w:cs="Arial"/>
                <w:color w:val="000000" w:themeColor="text1"/>
              </w:rPr>
              <w:t xml:space="preserve">As this is a researcher development scheme, the main people affected will be the </w:t>
            </w:r>
            <w:r w:rsidR="00771B3F">
              <w:rPr>
                <w:rFonts w:cs="Arial"/>
                <w:color w:val="000000" w:themeColor="text1"/>
              </w:rPr>
              <w:t xml:space="preserve">up to 30 </w:t>
            </w:r>
            <w:r>
              <w:rPr>
                <w:rFonts w:cs="Arial"/>
                <w:color w:val="000000" w:themeColor="text1"/>
              </w:rPr>
              <w:t xml:space="preserve">early career researchers (ECRs) invited to take part in </w:t>
            </w:r>
            <w:r w:rsidR="00771B3F">
              <w:rPr>
                <w:rFonts w:cs="Arial"/>
                <w:color w:val="000000" w:themeColor="text1"/>
              </w:rPr>
              <w:t xml:space="preserve">a </w:t>
            </w:r>
            <w:r>
              <w:rPr>
                <w:rFonts w:cs="Arial"/>
                <w:color w:val="000000" w:themeColor="text1"/>
              </w:rPr>
              <w:t>workshop, and then the 5 ECRs selected as New Generation Thinkers.</w:t>
            </w:r>
          </w:p>
          <w:p w14:paraId="344FD9BB" w14:textId="77777777" w:rsidR="00BC6997" w:rsidRDefault="00BC6997" w:rsidP="00BC6997">
            <w:pPr>
              <w:rPr>
                <w:rFonts w:cs="Arial"/>
                <w:color w:val="000000" w:themeColor="text1"/>
              </w:rPr>
            </w:pPr>
          </w:p>
          <w:p w14:paraId="76609ED1" w14:textId="77777777" w:rsidR="00BC6997" w:rsidRDefault="00BC6997" w:rsidP="00BC6997">
            <w:pPr>
              <w:rPr>
                <w:rFonts w:cs="Arial"/>
                <w:color w:val="000000" w:themeColor="text1"/>
              </w:rPr>
            </w:pPr>
            <w:r>
              <w:rPr>
                <w:rFonts w:cs="Arial"/>
                <w:color w:val="000000" w:themeColor="text1"/>
              </w:rPr>
              <w:t>Our partners at the BBC will be affected by who we select in the programmes that they will choose to make etc.</w:t>
            </w:r>
          </w:p>
          <w:p w14:paraId="73B9A77E" w14:textId="77777777" w:rsidR="00BC6997" w:rsidRDefault="00BC6997" w:rsidP="00BC6997">
            <w:pPr>
              <w:rPr>
                <w:rFonts w:cs="Arial"/>
                <w:color w:val="000000" w:themeColor="text1"/>
              </w:rPr>
            </w:pPr>
          </w:p>
          <w:p w14:paraId="73564562" w14:textId="77777777" w:rsidR="006C13AF" w:rsidRDefault="00BC6997" w:rsidP="00BC6997">
            <w:pPr>
              <w:rPr>
                <w:rFonts w:cs="Arial"/>
                <w:color w:val="000000" w:themeColor="text1"/>
              </w:rPr>
            </w:pPr>
            <w:r>
              <w:rPr>
                <w:rFonts w:cs="Arial"/>
                <w:color w:val="000000" w:themeColor="text1"/>
              </w:rPr>
              <w:lastRenderedPageBreak/>
              <w:t>BBC audiences, and the general public at large, will be affected in a more distant way by having more exposure to arts and humanities research.</w:t>
            </w:r>
          </w:p>
          <w:p w14:paraId="48942B2B" w14:textId="77777777" w:rsidR="006B49DC" w:rsidRDefault="006B49DC" w:rsidP="00BC6997">
            <w:pPr>
              <w:rPr>
                <w:rFonts w:cs="Arial"/>
                <w:bCs/>
                <w:color w:val="000000" w:themeColor="text1"/>
              </w:rPr>
            </w:pPr>
          </w:p>
          <w:p w14:paraId="633830B9" w14:textId="77777777" w:rsidR="006B49DC" w:rsidRDefault="006B49DC" w:rsidP="00BC6997">
            <w:pPr>
              <w:rPr>
                <w:rFonts w:cs="Arial"/>
                <w:bCs/>
                <w:color w:val="000000" w:themeColor="text1"/>
              </w:rPr>
            </w:pPr>
            <w:r>
              <w:rPr>
                <w:rFonts w:cs="Arial"/>
                <w:bCs/>
                <w:color w:val="000000" w:themeColor="text1"/>
              </w:rPr>
              <w:t xml:space="preserve">AHRC will be affected by public perception of the </w:t>
            </w:r>
            <w:r w:rsidR="00E708C2">
              <w:rPr>
                <w:rFonts w:cs="Arial"/>
                <w:bCs/>
                <w:color w:val="000000" w:themeColor="text1"/>
              </w:rPr>
              <w:t xml:space="preserve">ECRs who are selected. </w:t>
            </w:r>
          </w:p>
          <w:p w14:paraId="02D0569E" w14:textId="5FADB71C" w:rsidR="00E708C2" w:rsidRPr="00E03F66" w:rsidRDefault="00E708C2" w:rsidP="00BC6997">
            <w:pPr>
              <w:rPr>
                <w:bCs/>
                <w:color w:val="3B3838" w:themeColor="background2" w:themeShade="40"/>
              </w:rPr>
            </w:pPr>
          </w:p>
        </w:tc>
      </w:tr>
      <w:tr w:rsidR="006C13AF" w:rsidRPr="00E03F66" w14:paraId="460E5B07" w14:textId="77777777" w:rsidTr="4BFBF4D0">
        <w:trPr>
          <w:trHeight w:val="685"/>
        </w:trPr>
        <w:tc>
          <w:tcPr>
            <w:tcW w:w="4673" w:type="dxa"/>
            <w:shd w:val="clear" w:color="auto" w:fill="D1DEFD" w:themeFill="accent3" w:themeFillTint="33"/>
          </w:tcPr>
          <w:p w14:paraId="0AA8C0B8" w14:textId="48B9F0B8" w:rsidR="006C13AF" w:rsidRPr="00E03F66" w:rsidRDefault="006C13AF" w:rsidP="006C13AF">
            <w:r>
              <w:lastRenderedPageBreak/>
              <w:t xml:space="preserve">What data and consultation have you undertaken? </w:t>
            </w:r>
          </w:p>
          <w:p w14:paraId="06F60FC4" w14:textId="77777777" w:rsidR="006C13AF" w:rsidRPr="00E03F66" w:rsidRDefault="006C13AF" w:rsidP="006C13AF">
            <w:pPr>
              <w:rPr>
                <w:bCs/>
              </w:rPr>
            </w:pPr>
          </w:p>
        </w:tc>
        <w:tc>
          <w:tcPr>
            <w:tcW w:w="10348" w:type="dxa"/>
          </w:tcPr>
          <w:p w14:paraId="0813D9D8" w14:textId="77777777" w:rsidR="00C37970" w:rsidRPr="00C37970" w:rsidRDefault="00C37970" w:rsidP="00C37970">
            <w:pPr>
              <w:rPr>
                <w:color w:val="3B3838" w:themeColor="background2" w:themeShade="40"/>
              </w:rPr>
            </w:pPr>
            <w:r w:rsidRPr="00C37970">
              <w:rPr>
                <w:color w:val="3B3838" w:themeColor="background2" w:themeShade="40"/>
              </w:rPr>
              <w:t>Annual consultation has taken place with our project partners at the BBC.</w:t>
            </w:r>
          </w:p>
          <w:p w14:paraId="7C98F39B" w14:textId="77777777" w:rsidR="00C37970" w:rsidRPr="00C37970" w:rsidRDefault="00C37970" w:rsidP="00C37970">
            <w:pPr>
              <w:rPr>
                <w:color w:val="3B3838" w:themeColor="background2" w:themeShade="40"/>
              </w:rPr>
            </w:pPr>
          </w:p>
          <w:p w14:paraId="12C66DBC" w14:textId="1D88E0DE" w:rsidR="00C37970" w:rsidRPr="00C37970" w:rsidRDefault="00C37970" w:rsidP="00C37970">
            <w:pPr>
              <w:rPr>
                <w:color w:val="3B3838" w:themeColor="background2" w:themeShade="40"/>
              </w:rPr>
            </w:pPr>
            <w:r w:rsidRPr="00C37970">
              <w:rPr>
                <w:color w:val="3B3838" w:themeColor="background2" w:themeShade="40"/>
              </w:rPr>
              <w:t>We completed a wide</w:t>
            </w:r>
            <w:r w:rsidR="00A62858">
              <w:rPr>
                <w:color w:val="3B3838" w:themeColor="background2" w:themeShade="40"/>
              </w:rPr>
              <w:t>-</w:t>
            </w:r>
            <w:r w:rsidRPr="00C37970">
              <w:rPr>
                <w:color w:val="3B3838" w:themeColor="background2" w:themeShade="40"/>
              </w:rPr>
              <w:t xml:space="preserve">ranging review and evaluation of the New Generation Thinkers scheme in 2022, which involved interviews with many past NGTs and a mix of qualitative and quantitative feedback. This review concluded in April 2022. This review had one recommendation relating to diversity: </w:t>
            </w:r>
          </w:p>
          <w:p w14:paraId="616C727A" w14:textId="77777777" w:rsidR="00C37970" w:rsidRPr="00C37970" w:rsidRDefault="00C37970" w:rsidP="00C37970">
            <w:pPr>
              <w:rPr>
                <w:color w:val="3B3838" w:themeColor="background2" w:themeShade="40"/>
              </w:rPr>
            </w:pPr>
          </w:p>
          <w:p w14:paraId="1870A078" w14:textId="77777777" w:rsidR="00C37970" w:rsidRPr="00A62858" w:rsidRDefault="00C37970" w:rsidP="00A62858">
            <w:pPr>
              <w:pStyle w:val="ListParagraph"/>
              <w:numPr>
                <w:ilvl w:val="0"/>
                <w:numId w:val="34"/>
              </w:numPr>
              <w:rPr>
                <w:color w:val="3B3838" w:themeColor="background2" w:themeShade="40"/>
              </w:rPr>
            </w:pPr>
            <w:r w:rsidRPr="00A62858">
              <w:rPr>
                <w:color w:val="3B3838" w:themeColor="background2" w:themeShade="40"/>
              </w:rPr>
              <w:t>Consider ways to increase the diversity of NGTs; for example, by adopting a final short-listing approach that focuses on both radio excellence potential together with a more balanced portfolio of demographics, research topics and NGT-home-institutions.</w:t>
            </w:r>
          </w:p>
          <w:p w14:paraId="33C8CF85" w14:textId="77777777" w:rsidR="00C37970" w:rsidRPr="00C37970" w:rsidRDefault="00C37970" w:rsidP="00C37970">
            <w:pPr>
              <w:rPr>
                <w:color w:val="3B3838" w:themeColor="background2" w:themeShade="40"/>
              </w:rPr>
            </w:pPr>
          </w:p>
          <w:p w14:paraId="39CDF670" w14:textId="6B8D5E6C" w:rsidR="00C37970" w:rsidRPr="00C37970" w:rsidRDefault="00C37970" w:rsidP="00C37970">
            <w:pPr>
              <w:rPr>
                <w:color w:val="3B3838" w:themeColor="background2" w:themeShade="40"/>
              </w:rPr>
            </w:pPr>
            <w:r w:rsidRPr="00C37970">
              <w:rPr>
                <w:color w:val="3B3838" w:themeColor="background2" w:themeShade="40"/>
              </w:rPr>
              <w:t>We made changes to the scheme criteria and panel selection process for the 2023 scheme in response to this review.</w:t>
            </w:r>
            <w:r w:rsidR="00BB276B">
              <w:rPr>
                <w:color w:val="3B3838" w:themeColor="background2" w:themeShade="40"/>
              </w:rPr>
              <w:t xml:space="preserve"> F</w:t>
            </w:r>
            <w:r w:rsidR="00E06C0E">
              <w:rPr>
                <w:color w:val="3B3838" w:themeColor="background2" w:themeShade="40"/>
              </w:rPr>
              <w:t>or the 202</w:t>
            </w:r>
            <w:r w:rsidR="00B74820">
              <w:rPr>
                <w:color w:val="3B3838" w:themeColor="background2" w:themeShade="40"/>
              </w:rPr>
              <w:t xml:space="preserve">6 </w:t>
            </w:r>
            <w:r w:rsidR="00BE6A92">
              <w:rPr>
                <w:color w:val="3B3838" w:themeColor="background2" w:themeShade="40"/>
              </w:rPr>
              <w:t xml:space="preserve">opportunity </w:t>
            </w:r>
            <w:r w:rsidR="00B74820">
              <w:rPr>
                <w:color w:val="3B3838" w:themeColor="background2" w:themeShade="40"/>
              </w:rPr>
              <w:t xml:space="preserve">we are ensuring </w:t>
            </w:r>
            <w:r w:rsidR="009F01F7">
              <w:rPr>
                <w:color w:val="3B3838" w:themeColor="background2" w:themeShade="40"/>
              </w:rPr>
              <w:t xml:space="preserve">that one of the two NGTs attending the two webinars is from a </w:t>
            </w:r>
            <w:r w:rsidR="00E06C0E">
              <w:rPr>
                <w:color w:val="3B3838" w:themeColor="background2" w:themeShade="40"/>
              </w:rPr>
              <w:t>post-92 universit</w:t>
            </w:r>
            <w:r w:rsidR="009F01F7">
              <w:rPr>
                <w:color w:val="3B3838" w:themeColor="background2" w:themeShade="40"/>
              </w:rPr>
              <w:t>y</w:t>
            </w:r>
            <w:r w:rsidR="00E06C0E">
              <w:rPr>
                <w:color w:val="3B3838" w:themeColor="background2" w:themeShade="40"/>
              </w:rPr>
              <w:t>.</w:t>
            </w:r>
          </w:p>
          <w:p w14:paraId="2D73E75A" w14:textId="77777777" w:rsidR="00C37970" w:rsidRPr="00C37970" w:rsidRDefault="00C37970" w:rsidP="00C37970">
            <w:pPr>
              <w:rPr>
                <w:color w:val="3B3838" w:themeColor="background2" w:themeShade="40"/>
              </w:rPr>
            </w:pPr>
          </w:p>
          <w:p w14:paraId="133A7E5C" w14:textId="123EA385" w:rsidR="006C13AF" w:rsidRPr="00A62858" w:rsidRDefault="006C13AF" w:rsidP="00AC3201">
            <w:pPr>
              <w:rPr>
                <w:color w:val="3B3838" w:themeColor="background2" w:themeShade="40"/>
              </w:rPr>
            </w:pP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rsidRPr="00E03F66">
        <w:t xml:space="preserve">Analysing your </w:t>
      </w:r>
      <w:r w:rsidR="00F105AB">
        <w:t>i</w:t>
      </w:r>
      <w:r w:rsidRPr="00E03F66">
        <w:t>mpact</w:t>
      </w:r>
      <w:bookmarkEnd w:id="5"/>
    </w:p>
    <w:p w14:paraId="2D85DE22" w14:textId="0D8C6A27" w:rsidR="00E03F66" w:rsidRDefault="00E03F66" w:rsidP="00623DB3">
      <w:r w:rsidRPr="00E03F66">
        <w:t xml:space="preserve">In addition to data gathering and consultation, </w:t>
      </w:r>
      <w:r w:rsidRPr="00490BB8">
        <w:t xml:space="preserve">the </w:t>
      </w:r>
      <w:r w:rsidR="00DD5E59" w:rsidRPr="00490BB8">
        <w:t xml:space="preserve">guidance materials </w:t>
      </w:r>
      <w:r w:rsidRPr="00490BB8">
        <w:t xml:space="preserve">should </w:t>
      </w:r>
      <w:r w:rsidRPr="00E4691C">
        <w:t>be used to assist in identifying impacts on different groups.</w:t>
      </w:r>
      <w:r w:rsidRPr="00E03F66">
        <w:t xml:space="preserve"> </w:t>
      </w:r>
    </w:p>
    <w:p w14:paraId="7310AB48" w14:textId="77777777" w:rsidR="00A40B47" w:rsidRPr="00E03F66" w:rsidRDefault="00A40B47" w:rsidP="00E03F66">
      <w:pPr>
        <w:rPr>
          <w:color w:val="auto"/>
        </w:rPr>
      </w:pPr>
    </w:p>
    <w:tbl>
      <w:tblPr>
        <w:tblStyle w:val="TableGrid1"/>
        <w:tblW w:w="14737" w:type="dxa"/>
        <w:tblLook w:val="04A0" w:firstRow="1" w:lastRow="0" w:firstColumn="1" w:lastColumn="0" w:noHBand="0" w:noVBand="1"/>
      </w:tblPr>
      <w:tblGrid>
        <w:gridCol w:w="5277"/>
        <w:gridCol w:w="9460"/>
      </w:tblGrid>
      <w:tr w:rsidR="00A40B47" w:rsidRPr="00A40B47" w14:paraId="15CC0CF7" w14:textId="77777777" w:rsidTr="46E99FCF">
        <w:trPr>
          <w:trHeight w:val="3378"/>
        </w:trPr>
        <w:tc>
          <w:tcPr>
            <w:tcW w:w="5277" w:type="dxa"/>
            <w:shd w:val="clear" w:color="auto" w:fill="D1DEFD" w:themeFill="accent3" w:themeFillTint="33"/>
          </w:tcPr>
          <w:p w14:paraId="518F6DE3" w14:textId="1C81E5E1" w:rsidR="00A40B47" w:rsidRPr="00A40B47" w:rsidRDefault="00A40B47" w:rsidP="00623DB3">
            <w:r w:rsidRPr="00A40B47">
              <w:lastRenderedPageBreak/>
              <w:t xml:space="preserve">Are there </w:t>
            </w:r>
            <w:r w:rsidRPr="00A63357">
              <w:rPr>
                <w:b/>
                <w:bCs/>
              </w:rPr>
              <w:t>general or overarching impact</w:t>
            </w:r>
            <w:r w:rsidR="00417D53">
              <w:rPr>
                <w:b/>
                <w:bCs/>
              </w:rPr>
              <w:t>s</w:t>
            </w:r>
            <w:r w:rsidRPr="00A63357">
              <w:rPr>
                <w:b/>
                <w:bCs/>
              </w:rPr>
              <w:t xml:space="preserve"> on multiple groups</w:t>
            </w:r>
            <w:r w:rsidRPr="00A40B47">
              <w:t>? What actions will you take to increase positive impact, or reduce/mitigate negative impact?</w:t>
            </w:r>
          </w:p>
          <w:p w14:paraId="0677829F" w14:textId="77777777" w:rsidR="00A40B47" w:rsidRPr="00A40B47" w:rsidRDefault="00A40B47" w:rsidP="00623DB3"/>
          <w:p w14:paraId="31DAC97B" w14:textId="77777777" w:rsidR="00A40B47" w:rsidRPr="00A40B47" w:rsidRDefault="00A40B47" w:rsidP="00623DB3">
            <w:pPr>
              <w:rPr>
                <w:b/>
              </w:rPr>
            </w:pPr>
          </w:p>
          <w:p w14:paraId="3170449B" w14:textId="77777777" w:rsidR="00A40B47" w:rsidRPr="00A40B47" w:rsidRDefault="00A40B47" w:rsidP="00623DB3">
            <w:pPr>
              <w:rPr>
                <w:b/>
              </w:rPr>
            </w:pPr>
          </w:p>
          <w:p w14:paraId="3B04CEBE" w14:textId="77777777" w:rsidR="00A40B47" w:rsidRPr="00A40B47" w:rsidRDefault="00A40B47" w:rsidP="46E99FCF">
            <w:pPr>
              <w:rPr>
                <w:b/>
                <w:bCs/>
              </w:rPr>
            </w:pPr>
          </w:p>
        </w:tc>
        <w:tc>
          <w:tcPr>
            <w:tcW w:w="9460" w:type="dxa"/>
          </w:tcPr>
          <w:p w14:paraId="0E17A5D4" w14:textId="624ABB41" w:rsidR="00C744E0" w:rsidRPr="00977FD9" w:rsidRDefault="00C744E0" w:rsidP="00977FD9">
            <w:pPr>
              <w:rPr>
                <w:i/>
                <w:iCs/>
              </w:rPr>
            </w:pPr>
          </w:p>
          <w:p w14:paraId="7F82F4B1" w14:textId="340BE71F" w:rsidR="00840F8E" w:rsidRDefault="003159B8" w:rsidP="00840F8E">
            <w:r>
              <w:t xml:space="preserve">Specific impacts and actions are listed below. </w:t>
            </w:r>
          </w:p>
          <w:p w14:paraId="2B5917BA" w14:textId="77777777" w:rsidR="008270F2" w:rsidRDefault="008270F2" w:rsidP="00840F8E"/>
          <w:p w14:paraId="49C073D4" w14:textId="1E14486B" w:rsidR="00035E22" w:rsidRPr="003159B8" w:rsidRDefault="008270F2" w:rsidP="00840F8E">
            <w:r>
              <w:t xml:space="preserve">The </w:t>
            </w:r>
            <w:r w:rsidR="00EE24E5">
              <w:t xml:space="preserve">workshop for </w:t>
            </w:r>
            <w:r w:rsidR="007C0FCE">
              <w:t xml:space="preserve">up to 30 </w:t>
            </w:r>
            <w:r w:rsidR="00EE24E5">
              <w:t xml:space="preserve">shortlisted applicants poses some </w:t>
            </w:r>
            <w:r w:rsidR="00593A58">
              <w:t xml:space="preserve">potential EDI concerns, due to it being in person and in London. While we cannot </w:t>
            </w:r>
            <w:r w:rsidR="00B11ADE">
              <w:t xml:space="preserve">mitigate these issues completely, we will advertise the date when the opportunity opens, giving applicants </w:t>
            </w:r>
            <w:r w:rsidR="00DB6E81">
              <w:t>6 months’ notice.</w:t>
            </w:r>
            <w:r w:rsidR="00C85DE0">
              <w:t xml:space="preserve"> If this is a </w:t>
            </w:r>
            <w:r w:rsidR="005A0D09">
              <w:t>barrier to attendance due to disability, we will consider whether there is the possibility</w:t>
            </w:r>
            <w:r w:rsidR="00753DAB">
              <w:t xml:space="preserve"> for a candidate to attend remotely, however, the preference would be for in person attendance.</w:t>
            </w:r>
            <w:r w:rsidR="00DB6E81">
              <w:t xml:space="preserve"> </w:t>
            </w:r>
            <w:r w:rsidR="00C821E1">
              <w:t>Key dates</w:t>
            </w:r>
            <w:r w:rsidR="00BB276B">
              <w:t xml:space="preserve"> and timeline</w:t>
            </w:r>
            <w:r w:rsidR="00C821E1">
              <w:t xml:space="preserve"> will also be shared on the opportunity page. </w:t>
            </w:r>
            <w:r w:rsidR="001A6F44">
              <w:t xml:space="preserve">Applicants who are shortlisted for the workshop will be asked whether they have any access needs which will be met accordingly. </w:t>
            </w:r>
          </w:p>
          <w:p w14:paraId="55FAE911" w14:textId="74F89542" w:rsidR="00840F8E" w:rsidRPr="00840F8E" w:rsidRDefault="00840F8E" w:rsidP="00840F8E">
            <w:pPr>
              <w:rPr>
                <w:i/>
                <w:iCs/>
              </w:rPr>
            </w:pPr>
          </w:p>
        </w:tc>
      </w:tr>
    </w:tbl>
    <w:p w14:paraId="41AE252B" w14:textId="26FFD22D" w:rsidR="00E03F66" w:rsidRDefault="00E03F66" w:rsidP="008E3656">
      <w:pPr>
        <w:rPr>
          <w:bCs/>
          <w:color w:val="auto"/>
        </w:rPr>
      </w:pPr>
    </w:p>
    <w:p w14:paraId="7EDC7013" w14:textId="4E38A295" w:rsidR="007A2B49" w:rsidRDefault="00E904DF" w:rsidP="008E3656">
      <w:pPr>
        <w:rPr>
          <w:bCs/>
          <w:color w:val="auto"/>
        </w:rPr>
      </w:pPr>
      <w:r>
        <w:rPr>
          <w:bCs/>
          <w:color w:val="auto"/>
        </w:rPr>
        <w:t>C</w:t>
      </w:r>
      <w:r w:rsidR="007A2B49">
        <w:rPr>
          <w:bCs/>
          <w:color w:val="auto"/>
        </w:rPr>
        <w:t>ont</w:t>
      </w:r>
      <w:r>
        <w:rPr>
          <w:bCs/>
          <w:color w:val="auto"/>
        </w:rPr>
        <w:t>inued below…</w:t>
      </w:r>
    </w:p>
    <w:p w14:paraId="33BE4347" w14:textId="79D7DCD0" w:rsidR="00493D72" w:rsidRDefault="00493D72">
      <w:pPr>
        <w:rPr>
          <w:bCs/>
          <w:color w:val="auto"/>
        </w:rPr>
      </w:pPr>
      <w:r>
        <w:rPr>
          <w:bCs/>
          <w:color w:val="auto"/>
        </w:rPr>
        <w:br w:type="page"/>
      </w:r>
    </w:p>
    <w:p w14:paraId="5DDFAEDE" w14:textId="77777777" w:rsidR="0013632F" w:rsidRDefault="0013632F">
      <w:pPr>
        <w:rPr>
          <w:bCs/>
          <w:color w:val="auto"/>
        </w:rPr>
      </w:pPr>
    </w:p>
    <w:p w14:paraId="56F98A51" w14:textId="77777777" w:rsidR="0013632F" w:rsidRDefault="0013632F">
      <w:pPr>
        <w:rPr>
          <w:bCs/>
          <w:color w:val="auto"/>
        </w:rPr>
      </w:pPr>
    </w:p>
    <w:p w14:paraId="16A12208" w14:textId="2DF01A44" w:rsidR="0013632F" w:rsidRDefault="00F105AB" w:rsidP="00F105AB">
      <w:pPr>
        <w:pStyle w:val="Heading2"/>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39FBE3D3"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357AE2BE" w:rsidR="0013632F" w:rsidRPr="0013632F" w:rsidRDefault="006D38F0"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12F3F8EB" w:rsidR="0013632F" w:rsidRPr="0013632F" w:rsidRDefault="005262F8" w:rsidP="0013632F">
                <w:r>
                  <w:rPr>
                    <w:rFonts w:ascii="MS Gothic" w:eastAsia="MS Gothic" w:hAnsi="MS Gothic" w:cs="Arial" w:hint="eastAsia"/>
                    <w:color w:val="000000" w:themeColor="text1"/>
                    <w:sz w:val="40"/>
                    <w:szCs w:val="40"/>
                  </w:rPr>
                  <w:t>☒</w:t>
                </w:r>
              </w:p>
            </w:tc>
          </w:sdtContent>
        </w:sdt>
        <w:tc>
          <w:tcPr>
            <w:tcW w:w="4805" w:type="dxa"/>
          </w:tcPr>
          <w:p w14:paraId="7E87B67D" w14:textId="022004D6" w:rsidR="0013632F" w:rsidRPr="0013632F" w:rsidRDefault="00B26689" w:rsidP="0013632F">
            <w:r>
              <w:t>Assessors may experience</w:t>
            </w:r>
            <w:r w:rsidR="00ED1AA8">
              <w:t xml:space="preserve"> conscious and</w:t>
            </w:r>
            <w:r>
              <w:t xml:space="preserve"> unconscious bias against those who do not fit the expected age range of an ECR. </w:t>
            </w:r>
          </w:p>
        </w:tc>
        <w:tc>
          <w:tcPr>
            <w:tcW w:w="4587" w:type="dxa"/>
          </w:tcPr>
          <w:p w14:paraId="3770E1EE" w14:textId="73DD124A" w:rsidR="0013632F" w:rsidRPr="0013632F" w:rsidRDefault="00B26689" w:rsidP="0013632F">
            <w:r>
              <w:t>Ensure EDI statements are shared prior to any assessment processes</w:t>
            </w:r>
            <w:r w:rsidR="00242AE1">
              <w:t>; provide as little personal information as possible to avoid</w:t>
            </w:r>
            <w:r w:rsidR="00786F9D">
              <w:t xml:space="preserve"> </w:t>
            </w:r>
            <w:r w:rsidR="00242AE1">
              <w:t>bias</w:t>
            </w:r>
            <w:r w:rsidR="006658B0">
              <w:t xml:space="preserve">; </w:t>
            </w:r>
            <w:r w:rsidR="006658B0">
              <w:rPr>
                <w:rFonts w:eastAsia="Times New Roman"/>
              </w:rPr>
              <w:t>assessors will be reminded of our standards/code of conduct and that there is no age limit on the scheme, even though geared towards early careers.</w:t>
            </w:r>
          </w:p>
        </w:tc>
      </w:tr>
      <w:tr w:rsidR="0013632F" w:rsidRPr="0013632F" w14:paraId="348B4F8B" w14:textId="77777777" w:rsidTr="46E99FCF">
        <w:trPr>
          <w:trHeight w:val="472"/>
        </w:trPr>
        <w:tc>
          <w:tcPr>
            <w:tcW w:w="2508" w:type="dxa"/>
            <w:shd w:val="clear" w:color="auto" w:fill="D1DEFD" w:themeFill="accent3" w:themeFillTint="33"/>
          </w:tcPr>
          <w:p w14:paraId="6BC8FBBF" w14:textId="77777777"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39179289" w:rsidR="0013632F" w:rsidRPr="0013632F" w:rsidRDefault="001D4B55" w:rsidP="0013632F">
                <w:r>
                  <w:rPr>
                    <w:rFonts w:ascii="MS Gothic" w:eastAsia="MS Gothic" w:hAnsi="MS Gothic" w:cs="Arial" w:hint="eastAsia"/>
                    <w:color w:val="000000" w:themeColor="text1"/>
                    <w:sz w:val="40"/>
                    <w:szCs w:val="40"/>
                  </w:rPr>
                  <w:t>☒</w:t>
                </w:r>
              </w:p>
            </w:tc>
          </w:sdtContent>
        </w:sdt>
        <w:tc>
          <w:tcPr>
            <w:tcW w:w="4805" w:type="dxa"/>
          </w:tcPr>
          <w:p w14:paraId="24A6CCBD" w14:textId="073C04D4" w:rsidR="0013632F" w:rsidRPr="0013632F" w:rsidRDefault="0001443A" w:rsidP="0013632F">
            <w:r>
              <w:t xml:space="preserve">The selection workshop is in London which may pose access difficulties for anyone with a disability. </w:t>
            </w:r>
          </w:p>
        </w:tc>
        <w:tc>
          <w:tcPr>
            <w:tcW w:w="4587" w:type="dxa"/>
          </w:tcPr>
          <w:p w14:paraId="2E09443B" w14:textId="08EF2E15" w:rsidR="0013632F" w:rsidRPr="0013632F" w:rsidRDefault="0001443A" w:rsidP="0013632F">
            <w:r>
              <w:t xml:space="preserve">Ensure the venue is fully accessible, provide </w:t>
            </w:r>
            <w:r w:rsidR="00302E12">
              <w:t>detailed guidance in advance, ask attendees if they have any access requirements</w:t>
            </w:r>
            <w:r w:rsidR="003731B0">
              <w:t xml:space="preserve">. There is no </w:t>
            </w:r>
            <w:r w:rsidR="00ED2F3A">
              <w:t>remote alternative to the workshop due to BBC requirements and for group work</w:t>
            </w:r>
            <w:r w:rsidR="0033465D">
              <w:t xml:space="preserve">, but we will </w:t>
            </w:r>
            <w:r w:rsidR="00773867">
              <w:t>take specific access requirements into account and if appropriate explore a hybrid option</w:t>
            </w:r>
            <w:r w:rsidR="00ED2F3A">
              <w:t xml:space="preserve">. </w:t>
            </w:r>
          </w:p>
        </w:tc>
      </w:tr>
      <w:tr w:rsidR="00242AE1" w:rsidRPr="0013632F" w14:paraId="0B0797AA" w14:textId="77777777" w:rsidTr="46E99FCF">
        <w:trPr>
          <w:trHeight w:val="205"/>
        </w:trPr>
        <w:tc>
          <w:tcPr>
            <w:tcW w:w="2508" w:type="dxa"/>
            <w:shd w:val="clear" w:color="auto" w:fill="D1DEFD" w:themeFill="accent3" w:themeFillTint="33"/>
          </w:tcPr>
          <w:p w14:paraId="5F77659B" w14:textId="77777777" w:rsidR="00242AE1" w:rsidRPr="0013632F" w:rsidRDefault="00242AE1" w:rsidP="00242AE1">
            <w:r w:rsidRPr="0013632F">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242AE1" w:rsidRPr="0013632F" w:rsidRDefault="00242AE1" w:rsidP="00242AE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12FBD117" w:rsidR="00242AE1" w:rsidRPr="0013632F" w:rsidRDefault="00242AE1" w:rsidP="00242AE1">
                <w:r>
                  <w:rPr>
                    <w:rFonts w:ascii="MS Gothic" w:eastAsia="MS Gothic" w:hAnsi="MS Gothic" w:cs="Arial" w:hint="eastAsia"/>
                    <w:color w:val="000000" w:themeColor="text1"/>
                    <w:sz w:val="40"/>
                    <w:szCs w:val="40"/>
                  </w:rPr>
                  <w:t>☒</w:t>
                </w:r>
              </w:p>
            </w:tc>
          </w:sdtContent>
        </w:sdt>
        <w:tc>
          <w:tcPr>
            <w:tcW w:w="4805" w:type="dxa"/>
          </w:tcPr>
          <w:p w14:paraId="756D2DD6" w14:textId="529F60D3" w:rsidR="00242AE1" w:rsidRPr="0013632F" w:rsidRDefault="00242AE1" w:rsidP="00242AE1">
            <w:r>
              <w:t xml:space="preserve">Assessors may experience </w:t>
            </w:r>
            <w:r w:rsidR="00ED1AA8">
              <w:t xml:space="preserve">conscious and </w:t>
            </w:r>
            <w:r>
              <w:t xml:space="preserve">unconscious bias against those who are or who appear to be transgender.  </w:t>
            </w:r>
          </w:p>
        </w:tc>
        <w:tc>
          <w:tcPr>
            <w:tcW w:w="4587" w:type="dxa"/>
          </w:tcPr>
          <w:p w14:paraId="78846AF1" w14:textId="4098D8D6" w:rsidR="00242AE1" w:rsidRPr="0013632F" w:rsidRDefault="00242AE1" w:rsidP="00242AE1">
            <w:r>
              <w:t>Ensure EDI statements are shared prior to any assessment processes; provide as little personal information as possible to avoid</w:t>
            </w:r>
            <w:r w:rsidR="00786F9D">
              <w:t xml:space="preserve"> </w:t>
            </w:r>
            <w:r>
              <w:t>bias.</w:t>
            </w:r>
          </w:p>
        </w:tc>
      </w:tr>
      <w:tr w:rsidR="00242AE1" w:rsidRPr="0013632F" w14:paraId="1848A452" w14:textId="77777777" w:rsidTr="46E99FCF">
        <w:trPr>
          <w:trHeight w:val="205"/>
        </w:trPr>
        <w:tc>
          <w:tcPr>
            <w:tcW w:w="2508" w:type="dxa"/>
            <w:shd w:val="clear" w:color="auto" w:fill="D1DEFD" w:themeFill="accent3" w:themeFillTint="33"/>
          </w:tcPr>
          <w:p w14:paraId="3D520ED4" w14:textId="77777777" w:rsidR="00242AE1" w:rsidRPr="0013632F" w:rsidRDefault="00242AE1" w:rsidP="00242AE1">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242AE1" w:rsidRPr="0013632F" w:rsidRDefault="00242AE1" w:rsidP="00242AE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59E1284B" w:rsidR="00242AE1" w:rsidRPr="0013632F" w:rsidRDefault="00242AE1" w:rsidP="00242AE1">
                <w:r>
                  <w:rPr>
                    <w:rFonts w:ascii="MS Gothic" w:eastAsia="MS Gothic" w:hAnsi="MS Gothic" w:cs="Arial" w:hint="eastAsia"/>
                    <w:color w:val="000000" w:themeColor="text1"/>
                    <w:sz w:val="40"/>
                    <w:szCs w:val="40"/>
                  </w:rPr>
                  <w:t>☐</w:t>
                </w:r>
              </w:p>
            </w:tc>
          </w:sdtContent>
        </w:sdt>
        <w:tc>
          <w:tcPr>
            <w:tcW w:w="4805" w:type="dxa"/>
          </w:tcPr>
          <w:p w14:paraId="5AE5D69D" w14:textId="0C8F46FC" w:rsidR="00242AE1" w:rsidRPr="0013632F" w:rsidRDefault="00242AE1" w:rsidP="00242AE1">
            <w:r>
              <w:t>No impact</w:t>
            </w:r>
          </w:p>
        </w:tc>
        <w:tc>
          <w:tcPr>
            <w:tcW w:w="4587" w:type="dxa"/>
          </w:tcPr>
          <w:p w14:paraId="3E673427" w14:textId="7FE5E89D" w:rsidR="00242AE1" w:rsidRPr="0013632F" w:rsidRDefault="00242AE1" w:rsidP="00242AE1">
            <w:r>
              <w:t>N/A</w:t>
            </w:r>
          </w:p>
        </w:tc>
      </w:tr>
      <w:tr w:rsidR="00242AE1" w:rsidRPr="0013632F" w14:paraId="6050ABF1" w14:textId="77777777" w:rsidTr="46E99FCF">
        <w:trPr>
          <w:trHeight w:val="205"/>
        </w:trPr>
        <w:tc>
          <w:tcPr>
            <w:tcW w:w="2508" w:type="dxa"/>
            <w:shd w:val="clear" w:color="auto" w:fill="D1DEFD" w:themeFill="accent3" w:themeFillTint="33"/>
          </w:tcPr>
          <w:p w14:paraId="35D4A3B3" w14:textId="5AB04B2E" w:rsidR="00242AE1" w:rsidRPr="0013632F" w:rsidRDefault="00242AE1" w:rsidP="00242AE1">
            <w:r w:rsidRPr="0013632F">
              <w:lastRenderedPageBreak/>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2AAD5F1D" w:rsidR="00242AE1" w:rsidRPr="0013632F" w:rsidRDefault="00242AE1" w:rsidP="00242AE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5FA10284" w:rsidR="00242AE1" w:rsidRPr="0013632F" w:rsidRDefault="00242AE1" w:rsidP="00242AE1">
                <w:r>
                  <w:rPr>
                    <w:rFonts w:ascii="MS Gothic" w:eastAsia="MS Gothic" w:hAnsi="MS Gothic" w:cs="Arial" w:hint="eastAsia"/>
                    <w:color w:val="000000" w:themeColor="text1"/>
                    <w:sz w:val="40"/>
                    <w:szCs w:val="40"/>
                  </w:rPr>
                  <w:t>☒</w:t>
                </w:r>
              </w:p>
            </w:tc>
          </w:sdtContent>
        </w:sdt>
        <w:tc>
          <w:tcPr>
            <w:tcW w:w="4805" w:type="dxa"/>
          </w:tcPr>
          <w:p w14:paraId="0B3243D0" w14:textId="47625CF0" w:rsidR="00242AE1" w:rsidRPr="0013632F" w:rsidRDefault="00242AE1" w:rsidP="00242AE1">
            <w:r>
              <w:t xml:space="preserve">Maternity may impact candidates’ ability to take part in the scheme. </w:t>
            </w:r>
          </w:p>
        </w:tc>
        <w:tc>
          <w:tcPr>
            <w:tcW w:w="4587" w:type="dxa"/>
          </w:tcPr>
          <w:p w14:paraId="226037FD" w14:textId="3D350C7B" w:rsidR="00242AE1" w:rsidRPr="0013632F" w:rsidRDefault="00242AE1" w:rsidP="00242AE1">
            <w:r>
              <w:rPr>
                <w:rFonts w:cs="Arial"/>
                <w:color w:val="000000" w:themeColor="text1"/>
              </w:rPr>
              <w:t>Scheme is flexible so participation can take place at any time during scheme year. Applicants can apply for a subsequent scheme year with no penalty as time off for maternity does not count toward calculation of ECR status</w:t>
            </w:r>
          </w:p>
        </w:tc>
      </w:tr>
      <w:tr w:rsidR="00242AE1" w:rsidRPr="0013632F" w14:paraId="1B19424E" w14:textId="77777777" w:rsidTr="46E99FCF">
        <w:trPr>
          <w:trHeight w:val="205"/>
        </w:trPr>
        <w:tc>
          <w:tcPr>
            <w:tcW w:w="2508" w:type="dxa"/>
            <w:shd w:val="clear" w:color="auto" w:fill="D1DEFD" w:themeFill="accent3" w:themeFillTint="33"/>
          </w:tcPr>
          <w:p w14:paraId="11E11DE3" w14:textId="77777777" w:rsidR="00242AE1" w:rsidRPr="0013632F" w:rsidRDefault="00242AE1" w:rsidP="00242AE1">
            <w:r w:rsidRPr="0013632F">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242AE1" w:rsidRPr="0013632F" w:rsidRDefault="00242AE1" w:rsidP="00242AE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11A6E4C6" w:rsidR="00242AE1" w:rsidRPr="0013632F" w:rsidRDefault="00242AE1" w:rsidP="00242AE1">
                <w:r>
                  <w:rPr>
                    <w:rFonts w:ascii="MS Gothic" w:eastAsia="MS Gothic" w:hAnsi="MS Gothic" w:cs="Arial" w:hint="eastAsia"/>
                    <w:color w:val="000000" w:themeColor="text1"/>
                    <w:sz w:val="40"/>
                    <w:szCs w:val="40"/>
                  </w:rPr>
                  <w:t>☒</w:t>
                </w:r>
              </w:p>
            </w:tc>
          </w:sdtContent>
        </w:sdt>
        <w:tc>
          <w:tcPr>
            <w:tcW w:w="4805" w:type="dxa"/>
          </w:tcPr>
          <w:p w14:paraId="774C1FD4" w14:textId="7379305A" w:rsidR="00242AE1" w:rsidRPr="0013632F" w:rsidRDefault="00242AE1" w:rsidP="00242AE1">
            <w:r>
              <w:t>Assessors may experience</w:t>
            </w:r>
            <w:r w:rsidR="007A2BA9">
              <w:t xml:space="preserve"> conscious and</w:t>
            </w:r>
            <w:r>
              <w:t xml:space="preserve"> unconscious bias based on applicants’ race.   </w:t>
            </w:r>
          </w:p>
        </w:tc>
        <w:tc>
          <w:tcPr>
            <w:tcW w:w="4587" w:type="dxa"/>
          </w:tcPr>
          <w:p w14:paraId="3E6DF33D" w14:textId="38A114B6" w:rsidR="00242AE1" w:rsidRPr="0013632F" w:rsidRDefault="00242AE1" w:rsidP="00242AE1">
            <w:r>
              <w:t>Ensure EDI statements are shared prior to any assessment processes; provide as little personal information as possible to avoid unconscious bias.</w:t>
            </w:r>
          </w:p>
        </w:tc>
      </w:tr>
      <w:tr w:rsidR="00242AE1" w:rsidRPr="0013632F" w14:paraId="636FBFAF" w14:textId="77777777" w:rsidTr="46E99FCF">
        <w:trPr>
          <w:trHeight w:val="205"/>
        </w:trPr>
        <w:tc>
          <w:tcPr>
            <w:tcW w:w="2508" w:type="dxa"/>
            <w:shd w:val="clear" w:color="auto" w:fill="D1DEFD" w:themeFill="accent3" w:themeFillTint="33"/>
          </w:tcPr>
          <w:p w14:paraId="33116754" w14:textId="77777777" w:rsidR="00242AE1" w:rsidRPr="0013632F" w:rsidRDefault="00242AE1" w:rsidP="00242AE1">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242AE1" w:rsidRPr="0013632F" w:rsidRDefault="00242AE1" w:rsidP="00242AE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6159BDCD" w:rsidR="00242AE1" w:rsidRPr="0013632F" w:rsidRDefault="00242AE1" w:rsidP="00242AE1">
                <w:r>
                  <w:rPr>
                    <w:rFonts w:ascii="MS Gothic" w:eastAsia="MS Gothic" w:hAnsi="MS Gothic" w:cs="Arial" w:hint="eastAsia"/>
                    <w:color w:val="000000" w:themeColor="text1"/>
                    <w:sz w:val="40"/>
                    <w:szCs w:val="40"/>
                  </w:rPr>
                  <w:t>☒</w:t>
                </w:r>
              </w:p>
            </w:tc>
          </w:sdtContent>
        </w:sdt>
        <w:tc>
          <w:tcPr>
            <w:tcW w:w="4805" w:type="dxa"/>
          </w:tcPr>
          <w:p w14:paraId="1C1A5A6B" w14:textId="477AA115" w:rsidR="00242AE1" w:rsidRPr="0013632F" w:rsidRDefault="00242AE1" w:rsidP="00242AE1">
            <w:r>
              <w:t>Assessors may experience</w:t>
            </w:r>
            <w:r w:rsidR="007A2BA9">
              <w:t xml:space="preserve"> conscious and</w:t>
            </w:r>
            <w:r>
              <w:t xml:space="preserve"> unconscious bias based on applicants’ religion or belief.   </w:t>
            </w:r>
          </w:p>
        </w:tc>
        <w:tc>
          <w:tcPr>
            <w:tcW w:w="4587" w:type="dxa"/>
          </w:tcPr>
          <w:p w14:paraId="3A0B6D60" w14:textId="16A4604A" w:rsidR="00242AE1" w:rsidRPr="0013632F" w:rsidRDefault="00242AE1" w:rsidP="00242AE1">
            <w:r>
              <w:t>Ensure EDI statements are shared prior to any assessment processes; provide as little personal information as possible to avoid unconscious bias.</w:t>
            </w:r>
          </w:p>
        </w:tc>
      </w:tr>
      <w:tr w:rsidR="00242AE1" w:rsidRPr="0013632F" w14:paraId="41A1E9B5" w14:textId="77777777" w:rsidTr="46E99FCF">
        <w:trPr>
          <w:trHeight w:val="205"/>
        </w:trPr>
        <w:tc>
          <w:tcPr>
            <w:tcW w:w="2508" w:type="dxa"/>
            <w:shd w:val="clear" w:color="auto" w:fill="D1DEFD" w:themeFill="accent3" w:themeFillTint="33"/>
          </w:tcPr>
          <w:p w14:paraId="5119852C" w14:textId="77777777" w:rsidR="00242AE1" w:rsidRPr="0013632F" w:rsidRDefault="00242AE1" w:rsidP="00242AE1">
            <w:r w:rsidRPr="0013632F">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242AE1" w:rsidRPr="0013632F" w:rsidRDefault="00242AE1" w:rsidP="00242AE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1"/>
              <w14:checkedState w14:val="2612" w14:font="MS Gothic"/>
              <w14:uncheckedState w14:val="2610" w14:font="MS Gothic"/>
            </w14:checkbox>
          </w:sdtPr>
          <w:sdtEndPr/>
          <w:sdtContent>
            <w:tc>
              <w:tcPr>
                <w:tcW w:w="1197" w:type="dxa"/>
              </w:tcPr>
              <w:p w14:paraId="16844490" w14:textId="44032D35" w:rsidR="00242AE1" w:rsidRPr="0013632F" w:rsidRDefault="00242AE1" w:rsidP="00242AE1">
                <w:r>
                  <w:rPr>
                    <w:rFonts w:ascii="MS Gothic" w:eastAsia="MS Gothic" w:hAnsi="MS Gothic" w:cs="Arial" w:hint="eastAsia"/>
                    <w:color w:val="000000" w:themeColor="text1"/>
                    <w:sz w:val="40"/>
                    <w:szCs w:val="40"/>
                  </w:rPr>
                  <w:t>☒</w:t>
                </w:r>
              </w:p>
            </w:tc>
          </w:sdtContent>
        </w:sdt>
        <w:tc>
          <w:tcPr>
            <w:tcW w:w="4805" w:type="dxa"/>
          </w:tcPr>
          <w:p w14:paraId="6B47139D" w14:textId="7C076AE5" w:rsidR="00242AE1" w:rsidRPr="0013632F" w:rsidRDefault="00242AE1" w:rsidP="00242AE1">
            <w:r>
              <w:t>Assessors may experience</w:t>
            </w:r>
            <w:r w:rsidR="007A2BA9">
              <w:t xml:space="preserve"> conscious and</w:t>
            </w:r>
            <w:r>
              <w:t xml:space="preserve"> unconscious bias based on applicants’ sexual orientation.   </w:t>
            </w:r>
          </w:p>
        </w:tc>
        <w:tc>
          <w:tcPr>
            <w:tcW w:w="4587" w:type="dxa"/>
          </w:tcPr>
          <w:p w14:paraId="20C85CEE" w14:textId="3B0EA603" w:rsidR="00242AE1" w:rsidRPr="0013632F" w:rsidRDefault="00242AE1" w:rsidP="00242AE1">
            <w:r>
              <w:t>Ensure EDI statements are shared prior to any assessment processes; provide as little personal information as possible to avoid unconscious bias.</w:t>
            </w:r>
          </w:p>
        </w:tc>
      </w:tr>
      <w:tr w:rsidR="00242AE1" w:rsidRPr="0013632F" w14:paraId="100D5274" w14:textId="77777777" w:rsidTr="46E99FCF">
        <w:trPr>
          <w:trHeight w:val="205"/>
        </w:trPr>
        <w:tc>
          <w:tcPr>
            <w:tcW w:w="2508" w:type="dxa"/>
            <w:shd w:val="clear" w:color="auto" w:fill="D1DEFD" w:themeFill="accent3" w:themeFillTint="33"/>
          </w:tcPr>
          <w:p w14:paraId="7B8F9706" w14:textId="74F9955A" w:rsidR="00242AE1" w:rsidRPr="0013632F" w:rsidRDefault="00242AE1" w:rsidP="00242AE1">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242AE1" w:rsidRPr="0013632F" w:rsidRDefault="00242AE1" w:rsidP="00242AE1">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0E6DD36C" w:rsidR="00242AE1" w:rsidRPr="0013632F" w:rsidRDefault="00242AE1" w:rsidP="00242AE1">
                <w:r>
                  <w:rPr>
                    <w:rFonts w:ascii="MS Gothic" w:eastAsia="MS Gothic" w:hAnsi="MS Gothic" w:cs="Arial" w:hint="eastAsia"/>
                    <w:color w:val="000000" w:themeColor="text1"/>
                    <w:sz w:val="40"/>
                    <w:szCs w:val="40"/>
                  </w:rPr>
                  <w:t>☒</w:t>
                </w:r>
              </w:p>
            </w:tc>
          </w:sdtContent>
        </w:sdt>
        <w:tc>
          <w:tcPr>
            <w:tcW w:w="4805" w:type="dxa"/>
          </w:tcPr>
          <w:p w14:paraId="7E114FF5" w14:textId="714ED0E2" w:rsidR="00242AE1" w:rsidRPr="0013632F" w:rsidRDefault="00242AE1" w:rsidP="00242AE1">
            <w:r>
              <w:t>Assessors may experience</w:t>
            </w:r>
            <w:r w:rsidR="007A2BA9">
              <w:t xml:space="preserve"> conscious and</w:t>
            </w:r>
            <w:r>
              <w:t xml:space="preserve"> unconscious bias based on applicants’ sex.   </w:t>
            </w:r>
          </w:p>
        </w:tc>
        <w:tc>
          <w:tcPr>
            <w:tcW w:w="4587" w:type="dxa"/>
          </w:tcPr>
          <w:p w14:paraId="79356269" w14:textId="3C03A498" w:rsidR="00242AE1" w:rsidRPr="0013632F" w:rsidRDefault="00242AE1" w:rsidP="00242AE1">
            <w:r>
              <w:t>Ensure EDI statements are shared prior to any assessment processes; provide as little personal information as possible to avoid unconscious bias.</w:t>
            </w:r>
          </w:p>
        </w:tc>
      </w:tr>
    </w:tbl>
    <w:p w14:paraId="2C982E3D" w14:textId="77777777" w:rsidR="0013632F" w:rsidRDefault="0013632F">
      <w:pPr>
        <w:rPr>
          <w:bCs/>
          <w:color w:val="auto"/>
        </w:rPr>
      </w:pPr>
    </w:p>
    <w:p w14:paraId="55646E2D" w14:textId="4C9C3145" w:rsidR="007A2B49" w:rsidRPr="00341B6C" w:rsidRDefault="0013632F" w:rsidP="00341B6C">
      <w:pPr>
        <w:rPr>
          <w:bCs/>
          <w:color w:val="auto"/>
        </w:rPr>
      </w:pPr>
      <w:r>
        <w:rPr>
          <w:bCs/>
          <w:color w:val="auto"/>
        </w:rPr>
        <w:t>Continued below…</w:t>
      </w:r>
      <w:r w:rsidR="00493D72">
        <w:rPr>
          <w:bCs/>
          <w:color w:val="auto"/>
        </w:rPr>
        <w:br w:type="page"/>
      </w:r>
    </w:p>
    <w:p w14:paraId="037143E6" w14:textId="6D8A0547" w:rsidR="007A2B49" w:rsidRDefault="00F105AB" w:rsidP="00F105AB">
      <w:pPr>
        <w:pStyle w:val="Heading2"/>
      </w:pPr>
      <w:bookmarkStart w:id="7" w:name="_Toc126841209"/>
      <w:r>
        <w:lastRenderedPageBreak/>
        <w:t>Additional characteristics</w:t>
      </w:r>
      <w:bookmarkEnd w:id="7"/>
    </w:p>
    <w:p w14:paraId="4B9B1735" w14:textId="77777777" w:rsidR="007A2B49" w:rsidRDefault="007A2B49" w:rsidP="008E3656">
      <w:pPr>
        <w:rPr>
          <w:bCs/>
          <w:color w:val="auto"/>
        </w:rPr>
      </w:pPr>
    </w:p>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E904DF" w:rsidRPr="007C4B67" w14:paraId="50C298AA" w14:textId="77777777" w:rsidTr="008E3B5B">
        <w:trPr>
          <w:trHeight w:val="630"/>
        </w:trPr>
        <w:tc>
          <w:tcPr>
            <w:tcW w:w="2557" w:type="dxa"/>
            <w:shd w:val="clear" w:color="auto" w:fill="D1DEFD" w:themeFill="accent3" w:themeFillTint="33"/>
          </w:tcPr>
          <w:p w14:paraId="19AF8A89" w14:textId="20D40683" w:rsidR="00E904DF" w:rsidRPr="007A2B49" w:rsidRDefault="00E904DF" w:rsidP="00623DB3">
            <w:r w:rsidRPr="007A2B49">
              <w:t xml:space="preserve">Geographical location </w:t>
            </w:r>
            <w:r w:rsidR="00512F2D">
              <w:t xml:space="preserve">and place </w:t>
            </w:r>
            <w:r w:rsidRPr="007A2B49">
              <w:t>(consider UK and international offices)</w:t>
            </w:r>
          </w:p>
        </w:tc>
        <w:sdt>
          <w:sdtPr>
            <w:rPr>
              <w:rFonts w:cs="Arial"/>
              <w:color w:val="000000" w:themeColor="text1"/>
              <w:sz w:val="40"/>
              <w:szCs w:val="40"/>
            </w:rPr>
            <w:id w:val="-765302296"/>
            <w14:checkbox>
              <w14:checked w14:val="1"/>
              <w14:checkedState w14:val="2612" w14:font="MS Gothic"/>
              <w14:uncheckedState w14:val="2610" w14:font="MS Gothic"/>
            </w14:checkbox>
          </w:sdtPr>
          <w:sdtEndPr/>
          <w:sdtContent>
            <w:tc>
              <w:tcPr>
                <w:tcW w:w="1565" w:type="dxa"/>
              </w:tcPr>
              <w:p w14:paraId="7E626CD4" w14:textId="451184A5" w:rsidR="00E904DF" w:rsidRPr="00E904DF" w:rsidRDefault="00D879DC"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30B556E2" w:rsidR="00E904DF" w:rsidRPr="00E904DF" w:rsidRDefault="00D879DC"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7AF8E15" w14:textId="785D7B95" w:rsidR="00E904DF" w:rsidRDefault="00242AE1" w:rsidP="00E904DF">
            <w:pPr>
              <w:rPr>
                <w:bCs/>
                <w:color w:val="auto"/>
              </w:rPr>
            </w:pPr>
            <w:r>
              <w:rPr>
                <w:bCs/>
                <w:color w:val="auto"/>
              </w:rPr>
              <w:t xml:space="preserve">Two </w:t>
            </w:r>
            <w:r w:rsidR="00201308">
              <w:rPr>
                <w:bCs/>
                <w:color w:val="auto"/>
              </w:rPr>
              <w:t>placements</w:t>
            </w:r>
            <w:r w:rsidR="0052721B">
              <w:rPr>
                <w:bCs/>
                <w:color w:val="auto"/>
              </w:rPr>
              <w:t xml:space="preserve"> have a preference for applicants based in the North of England, and Wales and the South West of England</w:t>
            </w:r>
            <w:r w:rsidR="00201308">
              <w:rPr>
                <w:bCs/>
                <w:color w:val="auto"/>
              </w:rPr>
              <w:t xml:space="preserve">. This </w:t>
            </w:r>
            <w:r w:rsidR="005518E3">
              <w:rPr>
                <w:bCs/>
                <w:color w:val="auto"/>
              </w:rPr>
              <w:t xml:space="preserve">negatively impacts those from outside these areas but positively impacts those within these areas. </w:t>
            </w:r>
          </w:p>
          <w:p w14:paraId="1FE63B06" w14:textId="77777777" w:rsidR="00336F8B" w:rsidRDefault="00336F8B" w:rsidP="00E904DF">
            <w:pPr>
              <w:rPr>
                <w:bCs/>
                <w:color w:val="auto"/>
              </w:rPr>
            </w:pPr>
          </w:p>
          <w:p w14:paraId="02AC1255" w14:textId="590511C9" w:rsidR="00336F8B" w:rsidRDefault="00336F8B" w:rsidP="00E904DF">
            <w:pPr>
              <w:rPr>
                <w:bCs/>
                <w:color w:val="auto"/>
              </w:rPr>
            </w:pPr>
            <w:r>
              <w:rPr>
                <w:bCs/>
                <w:color w:val="auto"/>
              </w:rPr>
              <w:t>Scheme doesn’t provide travel reimbursement at workshop stage</w:t>
            </w:r>
            <w:r w:rsidR="00035E22">
              <w:rPr>
                <w:bCs/>
                <w:color w:val="auto"/>
              </w:rPr>
              <w:t xml:space="preserve"> so those who are located further from London will be </w:t>
            </w:r>
            <w:r w:rsidR="00283393">
              <w:rPr>
                <w:bCs/>
                <w:color w:val="auto"/>
              </w:rPr>
              <w:t xml:space="preserve">negatively affected by the cost of travel if invited to the workshop. </w:t>
            </w:r>
          </w:p>
          <w:p w14:paraId="517402B4" w14:textId="77777777" w:rsidR="004E7112" w:rsidRDefault="004E7112" w:rsidP="00E904DF">
            <w:pPr>
              <w:rPr>
                <w:bCs/>
                <w:color w:val="auto"/>
              </w:rPr>
            </w:pPr>
          </w:p>
          <w:p w14:paraId="79F5FC06" w14:textId="02B5C58D" w:rsidR="004E7112" w:rsidRDefault="004E7112" w:rsidP="00E904DF">
            <w:pPr>
              <w:rPr>
                <w:bCs/>
                <w:color w:val="auto"/>
              </w:rPr>
            </w:pPr>
            <w:r>
              <w:rPr>
                <w:bCs/>
                <w:color w:val="auto"/>
              </w:rPr>
              <w:t xml:space="preserve">Scheme requires some in person working, so may negatively affect those who live further away from BBC offices. </w:t>
            </w:r>
          </w:p>
          <w:p w14:paraId="47628901" w14:textId="77777777" w:rsidR="00336F8B" w:rsidRDefault="00336F8B" w:rsidP="00E904DF">
            <w:pPr>
              <w:rPr>
                <w:bCs/>
                <w:color w:val="auto"/>
              </w:rPr>
            </w:pPr>
          </w:p>
          <w:p w14:paraId="161E4FC0" w14:textId="3BD90329" w:rsidR="00336F8B" w:rsidRPr="007C4B67" w:rsidRDefault="00336F8B" w:rsidP="00E904DF">
            <w:pPr>
              <w:rPr>
                <w:bCs/>
                <w:color w:val="auto"/>
              </w:rPr>
            </w:pPr>
          </w:p>
        </w:tc>
        <w:tc>
          <w:tcPr>
            <w:tcW w:w="4496" w:type="dxa"/>
          </w:tcPr>
          <w:p w14:paraId="3362D4CB" w14:textId="77777777" w:rsidR="00E904DF" w:rsidRDefault="005518E3" w:rsidP="00E904DF">
            <w:pPr>
              <w:rPr>
                <w:bCs/>
                <w:color w:val="auto"/>
              </w:rPr>
            </w:pPr>
            <w:r>
              <w:rPr>
                <w:bCs/>
                <w:color w:val="auto"/>
              </w:rPr>
              <w:t xml:space="preserve">Robust template answers will be prepared to justify this requirement. </w:t>
            </w:r>
          </w:p>
          <w:p w14:paraId="5F13A9BC" w14:textId="77777777" w:rsidR="00336F8B" w:rsidRDefault="00336F8B" w:rsidP="00E904DF">
            <w:pPr>
              <w:rPr>
                <w:bCs/>
                <w:color w:val="auto"/>
              </w:rPr>
            </w:pPr>
          </w:p>
          <w:p w14:paraId="047ABB8F" w14:textId="77777777" w:rsidR="00336F8B" w:rsidRDefault="00336F8B" w:rsidP="00E904DF">
            <w:pPr>
              <w:rPr>
                <w:bCs/>
                <w:color w:val="auto"/>
              </w:rPr>
            </w:pPr>
            <w:r>
              <w:rPr>
                <w:bCs/>
                <w:color w:val="auto"/>
              </w:rPr>
              <w:t xml:space="preserve">Reimbursement is offered for the final 5 NGTs. </w:t>
            </w:r>
          </w:p>
          <w:p w14:paraId="643642AB" w14:textId="77777777" w:rsidR="00690EF9" w:rsidRDefault="00690EF9" w:rsidP="00E904DF">
            <w:pPr>
              <w:rPr>
                <w:bCs/>
                <w:color w:val="auto"/>
              </w:rPr>
            </w:pPr>
          </w:p>
          <w:p w14:paraId="4C489C39" w14:textId="77777777" w:rsidR="00690EF9" w:rsidRDefault="00A876CC" w:rsidP="00E904DF">
            <w:pPr>
              <w:rPr>
                <w:bCs/>
                <w:color w:val="auto"/>
              </w:rPr>
            </w:pPr>
            <w:r>
              <w:rPr>
                <w:bCs/>
                <w:color w:val="auto"/>
              </w:rPr>
              <w:t>The opportunity text is clear that no funding is available for the workshop stage.</w:t>
            </w:r>
          </w:p>
          <w:p w14:paraId="05604058" w14:textId="77777777" w:rsidR="004E7112" w:rsidRDefault="004E7112" w:rsidP="00E904DF">
            <w:pPr>
              <w:rPr>
                <w:bCs/>
                <w:color w:val="auto"/>
              </w:rPr>
            </w:pPr>
          </w:p>
          <w:p w14:paraId="23E62FC0" w14:textId="4D264F1C" w:rsidR="004E7112" w:rsidRPr="007C4B67" w:rsidRDefault="004E7112" w:rsidP="00E904DF">
            <w:pPr>
              <w:rPr>
                <w:bCs/>
                <w:color w:val="auto"/>
              </w:rPr>
            </w:pPr>
            <w:r w:rsidRPr="00BB276B">
              <w:rPr>
                <w:bCs/>
                <w:color w:val="000000" w:themeColor="text1"/>
              </w:rPr>
              <w:t>BBC will reimburse travel expenses for in person working for those who are successful</w:t>
            </w:r>
            <w:r w:rsidR="003C7223" w:rsidRPr="00BB276B">
              <w:rPr>
                <w:bCs/>
                <w:color w:val="000000" w:themeColor="text1"/>
              </w:rPr>
              <w:t xml:space="preserve"> in becoming an NGT</w:t>
            </w:r>
            <w:r w:rsidRPr="00BB276B">
              <w:rPr>
                <w:bCs/>
                <w:color w:val="000000" w:themeColor="text1"/>
              </w:rPr>
              <w:t xml:space="preserve">. AHRC will reimburse travel expenses </w:t>
            </w:r>
            <w:r w:rsidR="003C7223" w:rsidRPr="00BB276B">
              <w:rPr>
                <w:bCs/>
                <w:color w:val="000000" w:themeColor="text1"/>
              </w:rPr>
              <w:t xml:space="preserve">and help provide accommodation </w:t>
            </w:r>
            <w:r w:rsidRPr="00BB276B">
              <w:rPr>
                <w:bCs/>
                <w:color w:val="000000" w:themeColor="text1"/>
              </w:rPr>
              <w:t xml:space="preserve">for specific AHRC NGT training for successful applicants. </w:t>
            </w:r>
          </w:p>
        </w:tc>
      </w:tr>
      <w:tr w:rsidR="00E904DF" w:rsidRPr="007C4B67" w14:paraId="0258738E" w14:textId="77777777" w:rsidTr="008E3B5B">
        <w:trPr>
          <w:trHeight w:val="382"/>
        </w:trPr>
        <w:tc>
          <w:tcPr>
            <w:tcW w:w="2557" w:type="dxa"/>
            <w:shd w:val="clear" w:color="auto" w:fill="D1DEFD" w:themeFill="accent3" w:themeFillTint="33"/>
          </w:tcPr>
          <w:p w14:paraId="54678946" w14:textId="77777777" w:rsidR="00E904DF" w:rsidRPr="007A2B49" w:rsidRDefault="00E904DF" w:rsidP="00623DB3">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335262FC" w:rsidR="00E904DF" w:rsidRPr="00E904DF" w:rsidRDefault="00A45421"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0C40161E" w:rsidR="00E904DF" w:rsidRPr="007C4B67" w:rsidRDefault="00325347" w:rsidP="00E904DF">
            <w:pPr>
              <w:rPr>
                <w:bCs/>
                <w:color w:val="auto"/>
              </w:rPr>
            </w:pPr>
            <w:r>
              <w:rPr>
                <w:bCs/>
                <w:color w:val="auto"/>
              </w:rPr>
              <w:t>Scheme doesn’t provide travel reimbursement at workshop stage.</w:t>
            </w:r>
          </w:p>
        </w:tc>
        <w:tc>
          <w:tcPr>
            <w:tcW w:w="4496" w:type="dxa"/>
          </w:tcPr>
          <w:p w14:paraId="7C2DC12A" w14:textId="038318FE" w:rsidR="00E904DF" w:rsidRPr="007C4B67" w:rsidRDefault="00A876CC" w:rsidP="00E904DF">
            <w:pPr>
              <w:rPr>
                <w:bCs/>
                <w:color w:val="auto"/>
              </w:rPr>
            </w:pPr>
            <w:r>
              <w:rPr>
                <w:bCs/>
                <w:color w:val="auto"/>
              </w:rPr>
              <w:t>The opportunity text is clear that no funding is available for the workshop stage.</w:t>
            </w:r>
          </w:p>
        </w:tc>
      </w:tr>
      <w:tr w:rsidR="00E904DF" w:rsidRPr="007C4B67" w14:paraId="6D8F83A7" w14:textId="77777777" w:rsidTr="008E3B5B">
        <w:trPr>
          <w:trHeight w:val="166"/>
        </w:trPr>
        <w:tc>
          <w:tcPr>
            <w:tcW w:w="2557" w:type="dxa"/>
            <w:shd w:val="clear" w:color="auto" w:fill="D1DEFD" w:themeFill="accent3" w:themeFillTint="33"/>
          </w:tcPr>
          <w:p w14:paraId="1655B57A" w14:textId="77777777" w:rsidR="00E904DF" w:rsidRPr="007A2B49" w:rsidRDefault="00E904DF" w:rsidP="00623DB3">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3C935A1A" w:rsidR="00E904DF" w:rsidRPr="00E904DF" w:rsidRDefault="00A45421"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51723990" w:rsidR="00A876CC" w:rsidRPr="007C4B67" w:rsidRDefault="00A412C6" w:rsidP="00E904DF">
            <w:pPr>
              <w:rPr>
                <w:bCs/>
                <w:color w:val="auto"/>
              </w:rPr>
            </w:pPr>
            <w:r>
              <w:rPr>
                <w:rFonts w:cs="Arial"/>
                <w:color w:val="000000" w:themeColor="text1"/>
              </w:rPr>
              <w:t xml:space="preserve">Universities who have had successful applicants in the past can provide more support </w:t>
            </w:r>
            <w:r w:rsidR="002F5829">
              <w:rPr>
                <w:rFonts w:cs="Arial"/>
                <w:color w:val="000000" w:themeColor="text1"/>
              </w:rPr>
              <w:t xml:space="preserve">and information than those who have not. </w:t>
            </w:r>
          </w:p>
        </w:tc>
        <w:tc>
          <w:tcPr>
            <w:tcW w:w="4496" w:type="dxa"/>
          </w:tcPr>
          <w:p w14:paraId="0C4FD448" w14:textId="355AF432" w:rsidR="00E904DF" w:rsidRPr="007C4B67" w:rsidRDefault="000167B8" w:rsidP="00E904DF">
            <w:pPr>
              <w:rPr>
                <w:b/>
                <w:bCs/>
                <w:color w:val="auto"/>
              </w:rPr>
            </w:pPr>
            <w:r>
              <w:rPr>
                <w:rFonts w:cs="Arial"/>
                <w:color w:val="000000" w:themeColor="text1"/>
              </w:rPr>
              <w:t xml:space="preserve">Offer webinars explaining scheme that are open to all, provide more direct support for applicants. </w:t>
            </w:r>
            <w:r w:rsidR="00B21152">
              <w:rPr>
                <w:rFonts w:cs="Arial"/>
                <w:color w:val="000000" w:themeColor="text1"/>
              </w:rPr>
              <w:t xml:space="preserve">Ensure </w:t>
            </w:r>
            <w:r w:rsidR="006B0A46">
              <w:rPr>
                <w:rFonts w:cs="Arial"/>
                <w:color w:val="000000" w:themeColor="text1"/>
              </w:rPr>
              <w:t>a proactive approach to engaging stakeholder across the HEI and IRO community to build greater awareness of the opportunity</w:t>
            </w:r>
            <w:r>
              <w:rPr>
                <w:rFonts w:cs="Arial"/>
                <w:color w:val="000000" w:themeColor="text1"/>
              </w:rPr>
              <w:t xml:space="preserve">. </w:t>
            </w:r>
          </w:p>
        </w:tc>
      </w:tr>
      <w:tr w:rsidR="00E904DF" w:rsidRPr="007C4B67" w14:paraId="6B256C9A" w14:textId="77777777" w:rsidTr="008E3B5B">
        <w:trPr>
          <w:trHeight w:val="166"/>
        </w:trPr>
        <w:tc>
          <w:tcPr>
            <w:tcW w:w="2557" w:type="dxa"/>
            <w:shd w:val="clear" w:color="auto" w:fill="D1DEFD" w:themeFill="accent3" w:themeFillTint="33"/>
          </w:tcPr>
          <w:p w14:paraId="35BA9208" w14:textId="77777777" w:rsidR="00E904DF" w:rsidRPr="007A2B49" w:rsidRDefault="00E904DF" w:rsidP="00623DB3">
            <w:r w:rsidRPr="007A2B49">
              <w:lastRenderedPageBreak/>
              <w:t>Parent/guardian responsibilities</w:t>
            </w:r>
          </w:p>
        </w:tc>
        <w:sdt>
          <w:sdtPr>
            <w:rPr>
              <w:rFonts w:cs="Arial"/>
              <w:color w:val="000000" w:themeColor="text1"/>
              <w:sz w:val="40"/>
              <w:szCs w:val="40"/>
            </w:rPr>
            <w:id w:val="1317529040"/>
            <w14:checkbox>
              <w14:checked w14:val="0"/>
              <w14:checkedState w14:val="2612" w14:font="MS Gothic"/>
              <w14:uncheckedState w14:val="2610" w14:font="MS Gothic"/>
            </w14:checkbox>
          </w:sdtPr>
          <w:sdtEndPr/>
          <w:sdtContent>
            <w:tc>
              <w:tcPr>
                <w:tcW w:w="1565" w:type="dxa"/>
              </w:tcPr>
              <w:p w14:paraId="51811A31" w14:textId="48D3E5FA"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250421737"/>
            <w14:checkbox>
              <w14:checked w14:val="1"/>
              <w14:checkedState w14:val="2612" w14:font="MS Gothic"/>
              <w14:uncheckedState w14:val="2610" w14:font="MS Gothic"/>
            </w14:checkbox>
          </w:sdtPr>
          <w:sdtEndPr/>
          <w:sdtContent>
            <w:tc>
              <w:tcPr>
                <w:tcW w:w="1138" w:type="dxa"/>
              </w:tcPr>
              <w:p w14:paraId="60D6A91C" w14:textId="6B1555EA" w:rsidR="00E904DF" w:rsidRPr="00E904DF" w:rsidRDefault="00A45421"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262272D0" w14:textId="5FAA79AA" w:rsidR="00E904DF" w:rsidRPr="007C4B67" w:rsidRDefault="00FF50C6" w:rsidP="00E904DF">
            <w:pPr>
              <w:rPr>
                <w:bCs/>
                <w:color w:val="auto"/>
              </w:rPr>
            </w:pPr>
            <w:r>
              <w:rPr>
                <w:rFonts w:cs="Arial"/>
                <w:color w:val="000000" w:themeColor="text1"/>
              </w:rPr>
              <w:t>Participation in scheme could be limited by these responsibilities</w:t>
            </w:r>
          </w:p>
        </w:tc>
        <w:tc>
          <w:tcPr>
            <w:tcW w:w="4496" w:type="dxa"/>
          </w:tcPr>
          <w:p w14:paraId="467BF528" w14:textId="31325FBF" w:rsidR="00E904DF" w:rsidRDefault="00AE17E6" w:rsidP="00E904DF">
            <w:pPr>
              <w:rPr>
                <w:rFonts w:cs="Arial"/>
                <w:color w:val="000000" w:themeColor="text1"/>
              </w:rPr>
            </w:pPr>
            <w:r>
              <w:rPr>
                <w:rFonts w:cs="Arial"/>
                <w:color w:val="000000" w:themeColor="text1"/>
              </w:rPr>
              <w:t>Scheme is flexible so participation can take place at any time during scheme year; application window is longer than most other AHRC schemes (3 months+)</w:t>
            </w:r>
            <w:r w:rsidR="006F5D2D">
              <w:rPr>
                <w:rFonts w:cs="Arial"/>
                <w:color w:val="000000" w:themeColor="text1"/>
              </w:rPr>
              <w:t xml:space="preserve"> and a recording of the webinar</w:t>
            </w:r>
            <w:r w:rsidR="00A678D8">
              <w:rPr>
                <w:rFonts w:cs="Arial"/>
                <w:color w:val="000000" w:themeColor="text1"/>
              </w:rPr>
              <w:t>s</w:t>
            </w:r>
            <w:r w:rsidR="006F5D2D">
              <w:rPr>
                <w:rFonts w:cs="Arial"/>
                <w:color w:val="000000" w:themeColor="text1"/>
              </w:rPr>
              <w:t xml:space="preserve"> will be made available for researchers that couldn’t attend.</w:t>
            </w:r>
          </w:p>
          <w:p w14:paraId="129B4EA9" w14:textId="5495514D" w:rsidR="00480E94" w:rsidRPr="007C4B67" w:rsidRDefault="00480E94" w:rsidP="00E904DF">
            <w:pPr>
              <w:rPr>
                <w:b/>
                <w:bCs/>
                <w:color w:val="auto"/>
              </w:rPr>
            </w:pPr>
            <w:r>
              <w:rPr>
                <w:rFonts w:cs="Arial"/>
                <w:color w:val="000000" w:themeColor="text1"/>
              </w:rPr>
              <w:t xml:space="preserve">Workshop date will be provided when the scheme goes live so that those with caring responsibilities are able to plan ahead. </w:t>
            </w:r>
          </w:p>
        </w:tc>
      </w:tr>
      <w:tr w:rsidR="00E904DF" w:rsidRPr="007C4B67" w14:paraId="68CEEA75" w14:textId="77777777" w:rsidTr="008E3B5B">
        <w:trPr>
          <w:trHeight w:val="166"/>
        </w:trPr>
        <w:tc>
          <w:tcPr>
            <w:tcW w:w="2557" w:type="dxa"/>
            <w:shd w:val="clear" w:color="auto" w:fill="D1DEFD" w:themeFill="accent3" w:themeFillTint="33"/>
          </w:tcPr>
          <w:p w14:paraId="15C44D87" w14:textId="77777777" w:rsidR="00E904DF" w:rsidRPr="007A2B49" w:rsidRDefault="00E904DF" w:rsidP="00623DB3">
            <w:r w:rsidRPr="007A2B49">
              <w:t>Carer/parent carer responsibilities</w:t>
            </w:r>
          </w:p>
        </w:tc>
        <w:sdt>
          <w:sdtPr>
            <w:rPr>
              <w:rFonts w:cs="Arial"/>
              <w:color w:val="000000" w:themeColor="text1"/>
              <w:sz w:val="40"/>
              <w:szCs w:val="40"/>
            </w:rPr>
            <w:id w:val="-98652079"/>
            <w14:checkbox>
              <w14:checked w14:val="1"/>
              <w14:checkedState w14:val="2612" w14:font="MS Gothic"/>
              <w14:uncheckedState w14:val="2610" w14:font="MS Gothic"/>
            </w14:checkbox>
          </w:sdtPr>
          <w:sdtEndPr/>
          <w:sdtContent>
            <w:tc>
              <w:tcPr>
                <w:tcW w:w="1565" w:type="dxa"/>
              </w:tcPr>
              <w:p w14:paraId="26DEF801" w14:textId="033CABB3" w:rsidR="00E904DF" w:rsidRPr="00E904DF" w:rsidRDefault="003A541C"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5A24EF4C" w:rsidR="00E904DF" w:rsidRPr="00E904DF" w:rsidRDefault="00A45421"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3DC5EA42" w:rsidR="00E904DF" w:rsidRPr="007C4B67" w:rsidRDefault="00480E94" w:rsidP="00E904DF">
            <w:pPr>
              <w:rPr>
                <w:bCs/>
                <w:color w:val="auto"/>
              </w:rPr>
            </w:pPr>
            <w:r>
              <w:rPr>
                <w:rFonts w:cs="Arial"/>
                <w:color w:val="000000" w:themeColor="text1"/>
              </w:rPr>
              <w:t>Participation in scheme could be limited by these responsibilities</w:t>
            </w:r>
            <w:r w:rsidR="003A541C">
              <w:rPr>
                <w:rFonts w:cs="Arial"/>
                <w:color w:val="000000" w:themeColor="text1"/>
              </w:rPr>
              <w:t xml:space="preserve">, but equally, </w:t>
            </w:r>
            <w:r w:rsidR="00847E8E">
              <w:rPr>
                <w:rFonts w:cs="Arial"/>
                <w:color w:val="000000" w:themeColor="text1"/>
              </w:rPr>
              <w:t xml:space="preserve">the flexibility of the scheme could provide opportunities that may not be feasible </w:t>
            </w:r>
            <w:r w:rsidR="00CC2106">
              <w:rPr>
                <w:rFonts w:cs="Arial"/>
                <w:color w:val="000000" w:themeColor="text1"/>
              </w:rPr>
              <w:t xml:space="preserve">in a full time scheme. </w:t>
            </w:r>
          </w:p>
        </w:tc>
        <w:tc>
          <w:tcPr>
            <w:tcW w:w="4496" w:type="dxa"/>
          </w:tcPr>
          <w:p w14:paraId="72FCEED9" w14:textId="3CC3CAAF" w:rsidR="00E904DF" w:rsidRDefault="00480E94" w:rsidP="00E904DF">
            <w:pPr>
              <w:rPr>
                <w:rFonts w:cs="Arial"/>
                <w:color w:val="000000" w:themeColor="text1"/>
              </w:rPr>
            </w:pPr>
            <w:r>
              <w:rPr>
                <w:rFonts w:cs="Arial"/>
                <w:color w:val="000000" w:themeColor="text1"/>
              </w:rPr>
              <w:t>Scheme is flexible so participation can take place at any time during scheme year; application windows is longer than most other AHRC schemes (3 months+)</w:t>
            </w:r>
            <w:r w:rsidR="00590198">
              <w:rPr>
                <w:rFonts w:cs="Arial"/>
                <w:color w:val="000000" w:themeColor="text1"/>
              </w:rPr>
              <w:t xml:space="preserve"> </w:t>
            </w:r>
            <w:r w:rsidR="00590198" w:rsidRPr="00590198">
              <w:rPr>
                <w:rFonts w:cs="Arial"/>
                <w:color w:val="000000" w:themeColor="text1"/>
              </w:rPr>
              <w:t>and a recording of the webinar</w:t>
            </w:r>
            <w:r w:rsidR="00A678D8">
              <w:rPr>
                <w:rFonts w:cs="Arial"/>
                <w:color w:val="000000" w:themeColor="text1"/>
              </w:rPr>
              <w:t>s</w:t>
            </w:r>
            <w:r w:rsidR="00590198" w:rsidRPr="00590198">
              <w:rPr>
                <w:rFonts w:cs="Arial"/>
                <w:color w:val="000000" w:themeColor="text1"/>
              </w:rPr>
              <w:t xml:space="preserve"> will be made available for researchers that couldn’t attend.</w:t>
            </w:r>
          </w:p>
          <w:p w14:paraId="219B95CF" w14:textId="5044E661" w:rsidR="00480E94" w:rsidRPr="007C4B67" w:rsidRDefault="00480E94" w:rsidP="00E904DF">
            <w:pPr>
              <w:rPr>
                <w:bCs/>
                <w:color w:val="auto"/>
              </w:rPr>
            </w:pPr>
            <w:r>
              <w:rPr>
                <w:rFonts w:cs="Arial"/>
                <w:color w:val="000000" w:themeColor="text1"/>
              </w:rPr>
              <w:t xml:space="preserve">Workshop date will be provided when call goes live so that those with caring responsibilities can plan ahead. </w:t>
            </w:r>
          </w:p>
        </w:tc>
      </w:tr>
      <w:tr w:rsidR="00E904DF" w:rsidRPr="007C4B67" w14:paraId="1DEBFCE4" w14:textId="77777777" w:rsidTr="008E3B5B">
        <w:trPr>
          <w:trHeight w:val="166"/>
        </w:trPr>
        <w:tc>
          <w:tcPr>
            <w:tcW w:w="2557" w:type="dxa"/>
            <w:shd w:val="clear" w:color="auto" w:fill="D1DEFD" w:themeFill="accent3" w:themeFillTint="33"/>
          </w:tcPr>
          <w:p w14:paraId="6505768C" w14:textId="2C6FC6AA" w:rsidR="00E904DF" w:rsidRPr="007A2B49" w:rsidRDefault="00E904DF" w:rsidP="00623DB3">
            <w:r w:rsidRPr="007A2B49">
              <w:t>Political opinion (Northern Ireland</w:t>
            </w:r>
            <w:r w:rsidR="00C97B79">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4101E2FA" w:rsidR="00E904DF" w:rsidRPr="007C4B67" w:rsidRDefault="00480E94" w:rsidP="00E904DF">
            <w:pPr>
              <w:rPr>
                <w:bCs/>
                <w:color w:val="auto"/>
              </w:rPr>
            </w:pPr>
            <w:r>
              <w:rPr>
                <w:bCs/>
                <w:color w:val="auto"/>
              </w:rPr>
              <w:t>N/A</w:t>
            </w:r>
          </w:p>
        </w:tc>
        <w:tc>
          <w:tcPr>
            <w:tcW w:w="4496" w:type="dxa"/>
          </w:tcPr>
          <w:p w14:paraId="06C71136" w14:textId="61A71A4A" w:rsidR="00E904DF" w:rsidRPr="007C4B67" w:rsidRDefault="00480E94" w:rsidP="00E904DF">
            <w:pPr>
              <w:rPr>
                <w:bCs/>
                <w:color w:val="auto"/>
              </w:rPr>
            </w:pPr>
            <w:r>
              <w:rPr>
                <w:bCs/>
                <w:color w:val="auto"/>
              </w:rPr>
              <w:t>N/A</w:t>
            </w:r>
          </w:p>
        </w:tc>
      </w:tr>
      <w:tr w:rsidR="00E904DF" w:rsidRPr="007C4B67" w14:paraId="3A524ABB" w14:textId="77777777" w:rsidTr="008E3B5B">
        <w:trPr>
          <w:trHeight w:val="166"/>
        </w:trPr>
        <w:tc>
          <w:tcPr>
            <w:tcW w:w="2557" w:type="dxa"/>
            <w:shd w:val="clear" w:color="auto" w:fill="D1DEFD" w:themeFill="accent3" w:themeFillTint="33"/>
          </w:tcPr>
          <w:p w14:paraId="01517A1E" w14:textId="77777777" w:rsidR="00E904DF" w:rsidRPr="007A2B49" w:rsidRDefault="00E904DF" w:rsidP="00623DB3">
            <w:r w:rsidRPr="007A2B49">
              <w:t>Other characteristics</w:t>
            </w:r>
          </w:p>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0"/>
              <w14:checkedState w14:val="2612" w14:font="MS Gothic"/>
              <w14:uncheckedState w14:val="2610" w14:font="MS Gothic"/>
            </w14:checkbox>
          </w:sdtPr>
          <w:sdtEndPr/>
          <w:sdtContent>
            <w:tc>
              <w:tcPr>
                <w:tcW w:w="1138" w:type="dxa"/>
              </w:tcPr>
              <w:p w14:paraId="3477E10C" w14:textId="001C28C3" w:rsidR="00E904DF" w:rsidRPr="00E904DF" w:rsidRDefault="00E904DF" w:rsidP="00E904DF">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77777777" w:rsidR="00E904DF" w:rsidRPr="007C4B67" w:rsidRDefault="00E904DF" w:rsidP="00E904DF">
            <w:pPr>
              <w:rPr>
                <w:bCs/>
                <w:color w:val="auto"/>
              </w:rPr>
            </w:pPr>
          </w:p>
        </w:tc>
        <w:tc>
          <w:tcPr>
            <w:tcW w:w="4496" w:type="dxa"/>
          </w:tcPr>
          <w:p w14:paraId="2E9C3963" w14:textId="77777777" w:rsidR="00E904DF" w:rsidRPr="007C4B67" w:rsidRDefault="00E904DF" w:rsidP="00E904DF">
            <w:pPr>
              <w:rPr>
                <w:bCs/>
                <w:color w:val="auto"/>
              </w:rPr>
            </w:pPr>
          </w:p>
        </w:tc>
      </w:tr>
    </w:tbl>
    <w:p w14:paraId="3F2ED839" w14:textId="0F43CDAC" w:rsidR="00E904DF" w:rsidRDefault="00E904DF" w:rsidP="008E3656">
      <w:pPr>
        <w:rPr>
          <w:bCs/>
          <w:color w:val="auto"/>
        </w:rPr>
      </w:pPr>
    </w:p>
    <w:p w14:paraId="373606D1" w14:textId="3AD7F429" w:rsidR="00E904DF" w:rsidRDefault="0046653F">
      <w:pPr>
        <w:rPr>
          <w:bCs/>
          <w:color w:val="auto"/>
        </w:rPr>
      </w:pPr>
      <w:r>
        <w:rPr>
          <w:bCs/>
          <w:color w:val="auto"/>
        </w:rPr>
        <w:t>Continued below…</w:t>
      </w:r>
      <w:r w:rsidR="00E904DF">
        <w:rPr>
          <w:bCs/>
          <w:color w:val="auto"/>
        </w:rPr>
        <w:br w:type="page"/>
      </w:r>
    </w:p>
    <w:p w14:paraId="4ADD628E" w14:textId="77777777" w:rsidR="00E904DF" w:rsidRDefault="00E904DF" w:rsidP="00E904DF"/>
    <w:p w14:paraId="586D362D" w14:textId="3ACA9526" w:rsidR="004E69F3" w:rsidRDefault="004E69F3" w:rsidP="004E69F3">
      <w:pPr>
        <w:pStyle w:val="Heading2"/>
      </w:pPr>
      <w:bookmarkStart w:id="8" w:name="_Toc126841210"/>
      <w:r>
        <w:t>Evaluation</w:t>
      </w:r>
      <w:bookmarkEnd w:id="8"/>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9A5E6A" w:rsidRDefault="00BB4B26"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71B07489" w:rsidR="009A5E6A" w:rsidRPr="009A5E6A" w:rsidRDefault="00480E94"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04D5B3E5" w:rsidR="009A5E6A" w:rsidRPr="00F83734" w:rsidRDefault="00621EBB" w:rsidP="009A5E6A">
            <w:pPr>
              <w:rPr>
                <w:bCs/>
              </w:rPr>
            </w:pPr>
            <w:r>
              <w:rPr>
                <w:bCs/>
              </w:rPr>
              <w:t>The activity has been</w:t>
            </w:r>
            <w:r w:rsidR="005F1BAA">
              <w:rPr>
                <w:bCs/>
              </w:rPr>
              <w:t xml:space="preserve"> a</w:t>
            </w:r>
            <w:r w:rsidR="00F83734">
              <w:rPr>
                <w:bCs/>
              </w:rPr>
              <w:t>dapt</w:t>
            </w:r>
            <w:r>
              <w:rPr>
                <w:bCs/>
              </w:rPr>
              <w:t>ed</w:t>
            </w:r>
            <w:r w:rsidR="00F83734">
              <w:rPr>
                <w:bCs/>
              </w:rPr>
              <w:t xml:space="preserve"> following </w:t>
            </w:r>
            <w:r w:rsidR="005F1BAA">
              <w:rPr>
                <w:bCs/>
              </w:rPr>
              <w:t xml:space="preserve">the </w:t>
            </w:r>
            <w:r w:rsidR="00F83734">
              <w:rPr>
                <w:bCs/>
              </w:rPr>
              <w:t>a</w:t>
            </w:r>
            <w:r w:rsidR="00F83734" w:rsidRPr="00F83734">
              <w:rPr>
                <w:bCs/>
              </w:rPr>
              <w:t xml:space="preserve">ctions described in </w:t>
            </w:r>
            <w:r w:rsidR="005F1BAA">
              <w:rPr>
                <w:bCs/>
              </w:rPr>
              <w:t xml:space="preserve">the </w:t>
            </w:r>
            <w:r w:rsidR="00F83734" w:rsidRPr="00F83734">
              <w:rPr>
                <w:bCs/>
              </w:rPr>
              <w:t>previous section.</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9"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9"/>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5D329C">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234B7EDF" w14:textId="77777777" w:rsidR="00CD32EF" w:rsidRDefault="00CD32EF" w:rsidP="00CD32EF"/>
          <w:p w14:paraId="4B5670C1" w14:textId="24248190" w:rsidR="00EC32A5" w:rsidRDefault="00EC32A5" w:rsidP="00CD32EF">
            <w:r>
              <w:t xml:space="preserve">We plan to: </w:t>
            </w:r>
          </w:p>
          <w:p w14:paraId="2206346D" w14:textId="4F355501" w:rsidR="00EC32A5" w:rsidRDefault="00EC32A5" w:rsidP="00EC32A5">
            <w:pPr>
              <w:pStyle w:val="ListParagraph"/>
              <w:numPr>
                <w:ilvl w:val="0"/>
                <w:numId w:val="35"/>
              </w:numPr>
            </w:pPr>
            <w:r>
              <w:t xml:space="preserve">Monitor enquiries to evaluate whether there are </w:t>
            </w:r>
            <w:r w:rsidR="0005497C">
              <w:t xml:space="preserve">EDI concerns that haven’t been considered in advance. </w:t>
            </w:r>
          </w:p>
          <w:p w14:paraId="5B7676A5" w14:textId="69924968" w:rsidR="0005497C" w:rsidRDefault="0005497C" w:rsidP="00EC32A5">
            <w:pPr>
              <w:pStyle w:val="ListParagraph"/>
              <w:numPr>
                <w:ilvl w:val="0"/>
                <w:numId w:val="35"/>
              </w:numPr>
            </w:pPr>
            <w:r>
              <w:t xml:space="preserve">Where possible, make modifications to respond to any </w:t>
            </w:r>
            <w:r w:rsidR="000C65AD">
              <w:t xml:space="preserve">concerns. </w:t>
            </w:r>
          </w:p>
          <w:p w14:paraId="0B64FEE4" w14:textId="2E1C8A09" w:rsidR="000C65AD" w:rsidRDefault="000C65AD" w:rsidP="00EC32A5">
            <w:pPr>
              <w:pStyle w:val="ListParagraph"/>
              <w:numPr>
                <w:ilvl w:val="0"/>
                <w:numId w:val="35"/>
              </w:numPr>
            </w:pPr>
            <w:r>
              <w:t xml:space="preserve">Review the EIA as part of a lessons learned activity. </w:t>
            </w:r>
          </w:p>
          <w:p w14:paraId="43391155" w14:textId="7DB318EA" w:rsidR="000C65AD" w:rsidRPr="00EC32A5" w:rsidRDefault="005D329C" w:rsidP="00EC32A5">
            <w:pPr>
              <w:pStyle w:val="ListParagraph"/>
              <w:numPr>
                <w:ilvl w:val="0"/>
                <w:numId w:val="35"/>
              </w:numPr>
            </w:pPr>
            <w:r>
              <w:t xml:space="preserve">Review the EIA periodically and update where necessary. </w:t>
            </w:r>
          </w:p>
          <w:p w14:paraId="224F01DD" w14:textId="77777777" w:rsidR="00CD32EF" w:rsidRPr="00CD32EF" w:rsidRDefault="00CD32EF" w:rsidP="00CD32EF"/>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58A4FC11" w:rsidR="00CD32EF" w:rsidRPr="00CD32EF" w:rsidRDefault="00A6275D" w:rsidP="00CD32EF">
            <w:pPr>
              <w:rPr>
                <w:bCs/>
                <w:i/>
                <w:iCs/>
              </w:rPr>
            </w:pPr>
            <w:r>
              <w:rPr>
                <w:bCs/>
                <w:i/>
                <w:iCs/>
              </w:rPr>
              <w:t xml:space="preserve">Mid </w:t>
            </w:r>
            <w:r w:rsidR="00F60BFA">
              <w:rPr>
                <w:bCs/>
                <w:i/>
                <w:iCs/>
              </w:rPr>
              <w:t>December 2025</w:t>
            </w: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46E99FCF">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4A9439E9" w:rsidR="008A1D09" w:rsidRPr="008A1D09" w:rsidRDefault="008A1D09" w:rsidP="008A1D09">
            <w:pPr>
              <w:rPr>
                <w:bCs/>
              </w:rPr>
            </w:pPr>
            <w:r w:rsidRPr="008A1D09">
              <w:rPr>
                <w:bCs/>
              </w:rPr>
              <w:t>Yes</w:t>
            </w:r>
          </w:p>
          <w:p w14:paraId="6916AE83" w14:textId="77777777" w:rsidR="008A1D09" w:rsidRPr="008A1D09" w:rsidRDefault="008A1D09" w:rsidP="008A1D09">
            <w:pPr>
              <w:rPr>
                <w:bCs/>
              </w:rPr>
            </w:pPr>
          </w:p>
          <w:p w14:paraId="2631B7BA" w14:textId="3E438081" w:rsidR="008A1D09" w:rsidRPr="008A1D09" w:rsidRDefault="008A1D09" w:rsidP="008A1D09">
            <w:r w:rsidRPr="008A1D09">
              <w:t xml:space="preserve">*EIAs should be published alongside relevant funding activities for example </w:t>
            </w:r>
            <w:r w:rsidR="00D91935">
              <w:t>funding opportunities</w:t>
            </w:r>
            <w:r w:rsidR="00D91935" w:rsidRPr="008A1D09">
              <w:t xml:space="preserve"> </w:t>
            </w:r>
            <w:r w:rsidRPr="008A1D09">
              <w:t xml:space="preserve">and events. </w:t>
            </w:r>
          </w:p>
          <w:p w14:paraId="5C620FC5" w14:textId="77777777" w:rsidR="008A1D09" w:rsidRPr="008A1D09" w:rsidRDefault="008A1D09" w:rsidP="008A1D09">
            <w:pPr>
              <w:rPr>
                <w:bCs/>
              </w:rPr>
            </w:pPr>
          </w:p>
        </w:tc>
      </w:tr>
      <w:tr w:rsidR="008A1D09" w:rsidRPr="008A1D09" w14:paraId="7FFBF3FA" w14:textId="77777777" w:rsidTr="46E99FCF">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D926FF8" w14:textId="27D112A7" w:rsidR="008E2108" w:rsidRPr="008A1D09" w:rsidRDefault="0020095B" w:rsidP="008E2108">
            <w:r>
              <w:t>Becci.hutchins@ahrc.ukri.org</w:t>
            </w:r>
          </w:p>
          <w:p w14:paraId="2ED01680" w14:textId="608C5514" w:rsidR="008A1D09" w:rsidRPr="008A1D09" w:rsidRDefault="008A1D09" w:rsidP="008A1D09">
            <w:pPr>
              <w:rPr>
                <w:bCs/>
              </w:rPr>
            </w:pPr>
          </w:p>
        </w:tc>
      </w:tr>
      <w:tr w:rsidR="008A1D09" w:rsidRPr="008A1D09" w14:paraId="40BBFF79" w14:textId="77777777" w:rsidTr="00A678D8">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0B06E3D8" w:rsidR="008A1D09" w:rsidRPr="008A1D09" w:rsidRDefault="00B626DD" w:rsidP="008A1D09">
            <w:pPr>
              <w:rPr>
                <w:bCs/>
              </w:rPr>
            </w:pPr>
            <w:r w:rsidRPr="00A678D8">
              <w:rPr>
                <w:bCs/>
              </w:rPr>
              <w:t>Mike Collins</w:t>
            </w:r>
            <w:r w:rsidR="00A678D8">
              <w:rPr>
                <w:bCs/>
              </w:rPr>
              <w:t xml:space="preserve">, </w:t>
            </w:r>
            <w:r w:rsidR="00DE6B1E">
              <w:rPr>
                <w:bCs/>
              </w:rPr>
              <w:t>02/10/25</w:t>
            </w:r>
            <w:r>
              <w:rPr>
                <w:bCs/>
              </w:rPr>
              <w:t xml:space="preserve"> </w:t>
            </w:r>
          </w:p>
        </w:tc>
      </w:tr>
      <w:tr w:rsidR="008A1D09" w:rsidRPr="008A1D09" w14:paraId="69669229" w14:textId="77777777" w:rsidTr="006141A9">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006141A9">
              <w:rPr>
                <w:b/>
              </w:rPr>
              <w:t>Once your EIA is c</w:t>
            </w:r>
            <w:r w:rsidR="008A1D09" w:rsidRPr="006141A9">
              <w:rPr>
                <w:b/>
              </w:rPr>
              <w:t>ompleted</w:t>
            </w:r>
            <w:r w:rsidRPr="006141A9">
              <w:rPr>
                <w:b/>
              </w:rPr>
              <w:t xml:space="preserve"> or updated:</w:t>
            </w:r>
          </w:p>
          <w:p w14:paraId="0A38024B" w14:textId="77777777" w:rsidR="006141A9" w:rsidRPr="006141A9" w:rsidRDefault="006141A9" w:rsidP="006141A9">
            <w:pPr>
              <w:pStyle w:val="ListParagraph"/>
              <w:numPr>
                <w:ilvl w:val="0"/>
                <w:numId w:val="30"/>
              </w:numPr>
              <w:jc w:val="center"/>
              <w:rPr>
                <w:b/>
                <w:color w:val="005E54"/>
                <w:u w:val="single"/>
              </w:rPr>
            </w:pPr>
            <w:r w:rsidRPr="006141A9">
              <w:rPr>
                <w:b/>
              </w:rPr>
              <w:t>Email it</w:t>
            </w:r>
            <w:r w:rsidR="00A93B94" w:rsidRPr="006141A9">
              <w:rPr>
                <w:b/>
              </w:rPr>
              <w:t xml:space="preserve"> to</w:t>
            </w:r>
            <w:r w:rsidRPr="006141A9">
              <w:rPr>
                <w:b/>
              </w:rPr>
              <w:t xml:space="preserve"> your</w:t>
            </w:r>
            <w:r w:rsidR="00A93B94" w:rsidRPr="006141A9">
              <w:rPr>
                <w:b/>
              </w:rPr>
              <w:t xml:space="preserve"> </w:t>
            </w:r>
            <w:hyperlink r:id="rId19">
              <w:r w:rsidR="0937908B" w:rsidRPr="006141A9">
                <w:rPr>
                  <w:rStyle w:val="Hyperlink"/>
                  <w:b/>
                  <w:bCs/>
                  <w:sz w:val="24"/>
                  <w:szCs w:val="24"/>
                </w:rPr>
                <w:t>council</w:t>
              </w:r>
            </w:hyperlink>
            <w:r w:rsidR="00A93B94" w:rsidRPr="006141A9">
              <w:rPr>
                <w:b/>
              </w:rPr>
              <w:t xml:space="preserve"> </w:t>
            </w:r>
            <w:r w:rsidRPr="006141A9">
              <w:rPr>
                <w:b/>
              </w:rPr>
              <w:t xml:space="preserve">EDI team </w:t>
            </w:r>
            <w:r w:rsidR="008879EC" w:rsidRPr="006141A9">
              <w:rPr>
                <w:b/>
              </w:rPr>
              <w:t xml:space="preserve">and </w:t>
            </w:r>
          </w:p>
          <w:p w14:paraId="5F4C9E66" w14:textId="2ADE29AA" w:rsidR="008A1D09" w:rsidRPr="006141A9" w:rsidRDefault="006141A9" w:rsidP="006141A9">
            <w:pPr>
              <w:pStyle w:val="ListParagraph"/>
              <w:numPr>
                <w:ilvl w:val="0"/>
                <w:numId w:val="30"/>
              </w:numPr>
              <w:jc w:val="center"/>
              <w:rPr>
                <w:rStyle w:val="Hyperlink"/>
                <w:b/>
              </w:rPr>
            </w:pPr>
            <w:r w:rsidRPr="006141A9">
              <w:rPr>
                <w:b/>
              </w:rPr>
              <w:t xml:space="preserve">Upload it </w:t>
            </w:r>
            <w:r w:rsidR="008A1D09" w:rsidRPr="006141A9">
              <w:rPr>
                <w:b/>
              </w:rPr>
              <w:t xml:space="preserve">to the </w:t>
            </w:r>
            <w:r w:rsidR="001A6FE6" w:rsidRPr="006141A9">
              <w:rPr>
                <w:b/>
              </w:rPr>
              <w:t xml:space="preserve">UKRI </w:t>
            </w:r>
            <w:r w:rsidR="008A1D09" w:rsidRPr="006141A9">
              <w:rPr>
                <w:b/>
              </w:rPr>
              <w:t xml:space="preserve">central </w:t>
            </w:r>
            <w:r w:rsidR="4154B5BF" w:rsidRPr="006141A9">
              <w:rPr>
                <w:b/>
                <w:bCs/>
              </w:rPr>
              <w:t>repository</w:t>
            </w:r>
            <w:r w:rsidR="008A1D09" w:rsidRPr="006141A9">
              <w:rPr>
                <w:b/>
              </w:rPr>
              <w:t xml:space="preserve"> via </w:t>
            </w:r>
            <w:r w:rsidR="000D0DD2" w:rsidRPr="006141A9">
              <w:rPr>
                <w:b/>
              </w:rPr>
              <w:fldChar w:fldCharType="begin"/>
            </w:r>
            <w:r w:rsidR="000D0DD2" w:rsidRPr="006141A9">
              <w:rPr>
                <w:b/>
              </w:rPr>
              <w:instrText xml:space="preserve"> </w:instrText>
            </w:r>
            <w:r w:rsidR="000D0DD2" w:rsidRPr="006141A9">
              <w:rPr>
                <w:b/>
                <w:sz w:val="24"/>
                <w:szCs w:val="24"/>
              </w:rPr>
              <w:instrText xml:space="preserve">HYPERLINK </w:instrText>
            </w:r>
            <w:r w:rsidR="000D0DD2" w:rsidRPr="006141A9">
              <w:rPr>
                <w:b/>
              </w:rPr>
              <w:instrText xml:space="preserve">"https://forms.office.com/Pages/ResponsePage.aspx?id=juC3i6TajkqSfvyjjbBLfuzmJllr2UxPiagnQdB9dGBUMzFPRDY0RUJIRlpCRkwzN01WMTJWM1BKRCQlQCN0PWcu" </w:instrText>
            </w:r>
            <w:r w:rsidR="000D0DD2" w:rsidRPr="006141A9">
              <w:rPr>
                <w:b/>
              </w:rPr>
            </w:r>
            <w:r w:rsidR="000D0DD2" w:rsidRPr="006141A9">
              <w:rPr>
                <w:b/>
              </w:rPr>
              <w:fldChar w:fldCharType="separate"/>
            </w:r>
            <w:r w:rsidR="00255DAD" w:rsidRPr="006141A9">
              <w:rPr>
                <w:rStyle w:val="Hyperlink"/>
                <w:b/>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programmes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10" w:name="_Toc126841212"/>
      <w:r>
        <w:t>Change log</w:t>
      </w:r>
      <w:bookmarkEnd w:id="10"/>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bookmarkStart w:id="11" w:name="_Int_lj5prxqh"/>
            <w:r w:rsidRPr="006141A9">
              <w:rPr>
                <w:rFonts w:cs="Arial"/>
                <w:color w:val="595959" w:themeColor="text1" w:themeTint="A6"/>
              </w:rPr>
              <w:t>E.g.</w:t>
            </w:r>
            <w:bookmarkEnd w:id="11"/>
            <w:r w:rsidRPr="006141A9">
              <w:rPr>
                <w:rFonts w:cs="Arial"/>
                <w:color w:val="595959" w:themeColor="text1" w:themeTint="A6"/>
              </w:rPr>
              <w:t xml:space="preserve">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bookmarkStart w:id="12" w:name="_Int_OETFIBoY"/>
            <w:r w:rsidRPr="006141A9">
              <w:rPr>
                <w:rFonts w:cs="Arial"/>
                <w:color w:val="595959" w:themeColor="text1" w:themeTint="A6"/>
              </w:rPr>
              <w:t>E.g.</w:t>
            </w:r>
            <w:bookmarkEnd w:id="12"/>
            <w:r w:rsidRPr="006141A9">
              <w:rPr>
                <w:rFonts w:cs="Arial"/>
                <w:color w:val="595959" w:themeColor="text1" w:themeTint="A6"/>
              </w:rPr>
              <w:t xml:space="preserve">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bookmarkStart w:id="13" w:name="_Int_RZ4KqPoV"/>
            <w:r w:rsidRPr="006141A9">
              <w:rPr>
                <w:rFonts w:cs="Arial"/>
                <w:color w:val="595959" w:themeColor="text1" w:themeTint="A6"/>
              </w:rPr>
              <w:t>E.g.</w:t>
            </w:r>
            <w:bookmarkEnd w:id="13"/>
            <w:r w:rsidRPr="006141A9">
              <w:rPr>
                <w:rFonts w:cs="Arial"/>
                <w:color w:val="595959" w:themeColor="text1" w:themeTint="A6"/>
              </w:rPr>
              <w:t xml:space="preserve">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4" w:name="_Toc126841213"/>
      <w:r>
        <w:t>Action plan</w:t>
      </w:r>
      <w:bookmarkEnd w:id="14"/>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2F3B8C3F" w14:textId="77777777" w:rsidTr="004E69F3">
        <w:trPr>
          <w:trHeight w:val="403"/>
        </w:trPr>
        <w:tc>
          <w:tcPr>
            <w:tcW w:w="2934" w:type="dxa"/>
          </w:tcPr>
          <w:p w14:paraId="0A149A91" w14:textId="7DAE6E02" w:rsidR="004E69F3" w:rsidRPr="004E69F3" w:rsidRDefault="007364F3" w:rsidP="004E69F3">
            <w:r>
              <w:t>Provide all relevant dates in the funding finder text</w:t>
            </w:r>
          </w:p>
        </w:tc>
        <w:tc>
          <w:tcPr>
            <w:tcW w:w="2934" w:type="dxa"/>
          </w:tcPr>
          <w:p w14:paraId="537A6A0B" w14:textId="77163EDB" w:rsidR="004E69F3" w:rsidRPr="004E69F3" w:rsidRDefault="007364F3" w:rsidP="004E69F3">
            <w:r>
              <w:t>October 202</w:t>
            </w:r>
            <w:r w:rsidR="000066DE">
              <w:t>5</w:t>
            </w:r>
          </w:p>
        </w:tc>
        <w:tc>
          <w:tcPr>
            <w:tcW w:w="2935" w:type="dxa"/>
          </w:tcPr>
          <w:p w14:paraId="1A42F8C5" w14:textId="35532B08" w:rsidR="004E69F3" w:rsidRPr="004E69F3" w:rsidRDefault="00880BEC" w:rsidP="004E69F3">
            <w:r>
              <w:t>Scheme manager</w:t>
            </w:r>
          </w:p>
        </w:tc>
        <w:tc>
          <w:tcPr>
            <w:tcW w:w="2935" w:type="dxa"/>
          </w:tcPr>
          <w:p w14:paraId="164E7011" w14:textId="47EF3A11" w:rsidR="004E69F3" w:rsidRPr="004E69F3" w:rsidRDefault="007364F3" w:rsidP="004E69F3">
            <w:r>
              <w:t>N/A</w:t>
            </w:r>
          </w:p>
        </w:tc>
        <w:tc>
          <w:tcPr>
            <w:tcW w:w="2935" w:type="dxa"/>
          </w:tcPr>
          <w:p w14:paraId="5A2DEF20" w14:textId="6F87EC54" w:rsidR="004E69F3" w:rsidRPr="004E69F3" w:rsidRDefault="00392B16" w:rsidP="004E69F3">
            <w:r>
              <w:t xml:space="preserve">Applicants will be able to plan ahead and ensure they are available for the required dates, reducing burden on those with caring responsibilities, etc. </w:t>
            </w:r>
          </w:p>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CB29" w14:textId="77777777" w:rsidR="00B861FA" w:rsidRDefault="00B861FA" w:rsidP="001F62C7">
      <w:r>
        <w:separator/>
      </w:r>
    </w:p>
  </w:endnote>
  <w:endnote w:type="continuationSeparator" w:id="0">
    <w:p w14:paraId="4FBE095E" w14:textId="77777777" w:rsidR="00B861FA" w:rsidRDefault="00B861FA" w:rsidP="001F62C7">
      <w:r>
        <w:continuationSeparator/>
      </w:r>
    </w:p>
  </w:endnote>
  <w:endnote w:type="continuationNotice" w:id="1">
    <w:p w14:paraId="168B7A57" w14:textId="77777777" w:rsidR="00B861FA" w:rsidRDefault="00B86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0066DE" w:rsidP="00792240">
    <w:pPr>
      <w:pStyle w:val="Footer"/>
      <w:ind w:right="360"/>
      <w:rPr>
        <w:rStyle w:val="Hyperlink"/>
      </w:rPr>
    </w:pPr>
    <w:hyperlink r:id="rId1" w:history="1">
      <w:r w:rsidR="008E3656"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23E" w14:textId="77777777" w:rsidR="006220C1" w:rsidRDefault="0062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E5B2" w14:textId="77777777" w:rsidR="00B861FA" w:rsidRDefault="00B861FA" w:rsidP="001F62C7">
      <w:r>
        <w:separator/>
      </w:r>
    </w:p>
  </w:footnote>
  <w:footnote w:type="continuationSeparator" w:id="0">
    <w:p w14:paraId="5D7F223D" w14:textId="77777777" w:rsidR="00B861FA" w:rsidRDefault="00B861FA" w:rsidP="001F62C7">
      <w:r>
        <w:continuationSeparator/>
      </w:r>
    </w:p>
  </w:footnote>
  <w:footnote w:type="continuationNotice" w:id="1">
    <w:p w14:paraId="5BBD663C" w14:textId="77777777" w:rsidR="00B861FA" w:rsidRDefault="00B86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E94C" w14:textId="77777777" w:rsidR="006220C1" w:rsidRDefault="0062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7A55" w14:textId="77777777" w:rsidR="006220C1" w:rsidRDefault="006220C1">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lj5prxqh" int2:invalidationBookmarkName="" int2:hashCode="+kp6Fw9wdVYMmK" int2:id="J5H58pbN">
      <int2:state int2:value="Rejected" int2:type="AugLoop_Text_Critique"/>
    </int2:bookmark>
    <int2:bookmark int2:bookmarkName="_Int_OETFIBoY" int2:invalidationBookmarkName="" int2:hashCode="+kp6Fw9wdVYMmK" int2:id="lLSqScZ8">
      <int2:state int2:value="Rejected" int2:type="AugLoop_Text_Critique"/>
    </int2:bookmark>
    <int2:bookmark int2:bookmarkName="_Int_RZ4KqPoV" int2:invalidationBookmarkName="" int2:hashCode="+kp6Fw9wdVYMmK" int2:id="0kXmUS8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35C39"/>
    <w:multiLevelType w:val="multilevel"/>
    <w:tmpl w:val="AFE8D4C0"/>
    <w:lvl w:ilvl="0">
      <w:start w:val="1"/>
      <w:numFmt w:val="decimal"/>
      <w:lvlText w:val="%1."/>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C694C"/>
    <w:multiLevelType w:val="hybridMultilevel"/>
    <w:tmpl w:val="CBD4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3"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A5C1D"/>
    <w:multiLevelType w:val="hybridMultilevel"/>
    <w:tmpl w:val="10E0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8" w15:restartNumberingAfterBreak="0">
    <w:nsid w:val="617A62E2"/>
    <w:multiLevelType w:val="hybridMultilevel"/>
    <w:tmpl w:val="7300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0B726F"/>
    <w:multiLevelType w:val="multilevel"/>
    <w:tmpl w:val="AFE8D4C0"/>
    <w:lvl w:ilvl="0">
      <w:start w:val="1"/>
      <w:numFmt w:val="decimal"/>
      <w:lvlText w:val="%1."/>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360" w:hanging="360"/>
      </w:pPr>
      <w:rPr>
        <w:rFonts w:ascii="Symbol" w:hAnsi="Symbol" w:hint="default"/>
      </w:rPr>
    </w:lvl>
    <w:lvl w:ilvl="2">
      <w:start w:val="1"/>
      <w:numFmt w:val="decimal"/>
      <w:lvlText w:val="%1.%2.%3."/>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115054978">
    <w:abstractNumId w:val="18"/>
  </w:num>
  <w:num w:numId="2" w16cid:durableId="1233352261">
    <w:abstractNumId w:val="33"/>
  </w:num>
  <w:num w:numId="3" w16cid:durableId="1498153067">
    <w:abstractNumId w:val="31"/>
  </w:num>
  <w:num w:numId="4" w16cid:durableId="1864858693">
    <w:abstractNumId w:val="21"/>
  </w:num>
  <w:num w:numId="5" w16cid:durableId="1257593104">
    <w:abstractNumId w:val="5"/>
  </w:num>
  <w:num w:numId="6" w16cid:durableId="1740906995">
    <w:abstractNumId w:val="23"/>
  </w:num>
  <w:num w:numId="7" w16cid:durableId="1142964855">
    <w:abstractNumId w:val="24"/>
  </w:num>
  <w:num w:numId="8" w16cid:durableId="1783718424">
    <w:abstractNumId w:val="12"/>
  </w:num>
  <w:num w:numId="9" w16cid:durableId="1961525059">
    <w:abstractNumId w:val="6"/>
  </w:num>
  <w:num w:numId="10" w16cid:durableId="1588004861">
    <w:abstractNumId w:val="14"/>
  </w:num>
  <w:num w:numId="11" w16cid:durableId="1802116982">
    <w:abstractNumId w:val="1"/>
  </w:num>
  <w:num w:numId="12" w16cid:durableId="1697266660">
    <w:abstractNumId w:val="7"/>
  </w:num>
  <w:num w:numId="13" w16cid:durableId="1812675381">
    <w:abstractNumId w:val="25"/>
  </w:num>
  <w:num w:numId="14" w16cid:durableId="1231500762">
    <w:abstractNumId w:val="8"/>
  </w:num>
  <w:num w:numId="15" w16cid:durableId="1329283788">
    <w:abstractNumId w:val="20"/>
  </w:num>
  <w:num w:numId="16" w16cid:durableId="1436631320">
    <w:abstractNumId w:val="4"/>
  </w:num>
  <w:num w:numId="17" w16cid:durableId="24256471">
    <w:abstractNumId w:val="30"/>
  </w:num>
  <w:num w:numId="18" w16cid:durableId="49616346">
    <w:abstractNumId w:val="13"/>
  </w:num>
  <w:num w:numId="19" w16cid:durableId="2072649859">
    <w:abstractNumId w:val="17"/>
  </w:num>
  <w:num w:numId="20" w16cid:durableId="84036576">
    <w:abstractNumId w:val="16"/>
  </w:num>
  <w:num w:numId="21" w16cid:durableId="1074283147">
    <w:abstractNumId w:val="2"/>
  </w:num>
  <w:num w:numId="22" w16cid:durableId="1205562755">
    <w:abstractNumId w:val="11"/>
  </w:num>
  <w:num w:numId="23" w16cid:durableId="1870099735">
    <w:abstractNumId w:val="22"/>
  </w:num>
  <w:num w:numId="24" w16cid:durableId="91585365">
    <w:abstractNumId w:val="15"/>
  </w:num>
  <w:num w:numId="25" w16cid:durableId="476261141">
    <w:abstractNumId w:val="27"/>
  </w:num>
  <w:num w:numId="26" w16cid:durableId="2017152041">
    <w:abstractNumId w:val="29"/>
  </w:num>
  <w:num w:numId="27" w16cid:durableId="437915329">
    <w:abstractNumId w:val="0"/>
  </w:num>
  <w:num w:numId="28" w16cid:durableId="534387910">
    <w:abstractNumId w:val="10"/>
  </w:num>
  <w:num w:numId="29" w16cid:durableId="772630319">
    <w:abstractNumId w:val="26"/>
  </w:num>
  <w:num w:numId="30" w16cid:durableId="591547400">
    <w:abstractNumId w:val="34"/>
  </w:num>
  <w:num w:numId="31" w16cid:durableId="28751664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609859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0557355">
    <w:abstractNumId w:val="19"/>
  </w:num>
  <w:num w:numId="34" w16cid:durableId="433288230">
    <w:abstractNumId w:val="9"/>
  </w:num>
  <w:num w:numId="35" w16cid:durableId="15942396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66DE"/>
    <w:rsid w:val="00006BC3"/>
    <w:rsid w:val="00011BB6"/>
    <w:rsid w:val="0001443A"/>
    <w:rsid w:val="000167B8"/>
    <w:rsid w:val="00017BB8"/>
    <w:rsid w:val="00020E24"/>
    <w:rsid w:val="00022608"/>
    <w:rsid w:val="0002469E"/>
    <w:rsid w:val="00027E5D"/>
    <w:rsid w:val="000305FB"/>
    <w:rsid w:val="000324F2"/>
    <w:rsid w:val="00032705"/>
    <w:rsid w:val="00035E22"/>
    <w:rsid w:val="00040F83"/>
    <w:rsid w:val="00045115"/>
    <w:rsid w:val="00046F3D"/>
    <w:rsid w:val="000503E4"/>
    <w:rsid w:val="00050BF5"/>
    <w:rsid w:val="000515FD"/>
    <w:rsid w:val="00051A18"/>
    <w:rsid w:val="0005497C"/>
    <w:rsid w:val="00066C99"/>
    <w:rsid w:val="000704E7"/>
    <w:rsid w:val="0007194F"/>
    <w:rsid w:val="00072A45"/>
    <w:rsid w:val="00080550"/>
    <w:rsid w:val="000858E1"/>
    <w:rsid w:val="00096ECA"/>
    <w:rsid w:val="000A0D2D"/>
    <w:rsid w:val="000A6221"/>
    <w:rsid w:val="000B1F3C"/>
    <w:rsid w:val="000B2FD9"/>
    <w:rsid w:val="000B5163"/>
    <w:rsid w:val="000C65AD"/>
    <w:rsid w:val="000C693C"/>
    <w:rsid w:val="000D0B9C"/>
    <w:rsid w:val="000D0DD2"/>
    <w:rsid w:val="000D3769"/>
    <w:rsid w:val="000D42B6"/>
    <w:rsid w:val="000E0221"/>
    <w:rsid w:val="000E0852"/>
    <w:rsid w:val="000E355A"/>
    <w:rsid w:val="000E7274"/>
    <w:rsid w:val="000F492E"/>
    <w:rsid w:val="000F4DF2"/>
    <w:rsid w:val="000F6E23"/>
    <w:rsid w:val="000F772F"/>
    <w:rsid w:val="0010262F"/>
    <w:rsid w:val="0010633F"/>
    <w:rsid w:val="001076C8"/>
    <w:rsid w:val="0011641B"/>
    <w:rsid w:val="00117981"/>
    <w:rsid w:val="00117A48"/>
    <w:rsid w:val="001203E0"/>
    <w:rsid w:val="00127268"/>
    <w:rsid w:val="0013538D"/>
    <w:rsid w:val="0013632F"/>
    <w:rsid w:val="00145861"/>
    <w:rsid w:val="00145F3E"/>
    <w:rsid w:val="00147D1C"/>
    <w:rsid w:val="00147D57"/>
    <w:rsid w:val="00153C0C"/>
    <w:rsid w:val="00157DDA"/>
    <w:rsid w:val="0016053A"/>
    <w:rsid w:val="00160AE4"/>
    <w:rsid w:val="00160F2E"/>
    <w:rsid w:val="00167266"/>
    <w:rsid w:val="0016740B"/>
    <w:rsid w:val="0016753E"/>
    <w:rsid w:val="00175377"/>
    <w:rsid w:val="00177E62"/>
    <w:rsid w:val="0018486B"/>
    <w:rsid w:val="00184CF9"/>
    <w:rsid w:val="001873CD"/>
    <w:rsid w:val="001909DA"/>
    <w:rsid w:val="00191A47"/>
    <w:rsid w:val="00196868"/>
    <w:rsid w:val="001A6F44"/>
    <w:rsid w:val="001A6FE6"/>
    <w:rsid w:val="001B1487"/>
    <w:rsid w:val="001B69FB"/>
    <w:rsid w:val="001C0266"/>
    <w:rsid w:val="001C1528"/>
    <w:rsid w:val="001C3882"/>
    <w:rsid w:val="001D4906"/>
    <w:rsid w:val="001D4B55"/>
    <w:rsid w:val="001F071C"/>
    <w:rsid w:val="001F1337"/>
    <w:rsid w:val="001F62C7"/>
    <w:rsid w:val="0020095B"/>
    <w:rsid w:val="00201308"/>
    <w:rsid w:val="00204002"/>
    <w:rsid w:val="00204548"/>
    <w:rsid w:val="00204928"/>
    <w:rsid w:val="00205539"/>
    <w:rsid w:val="00205A3B"/>
    <w:rsid w:val="00206D08"/>
    <w:rsid w:val="00221D0E"/>
    <w:rsid w:val="00222AE0"/>
    <w:rsid w:val="00223B75"/>
    <w:rsid w:val="0022428B"/>
    <w:rsid w:val="0022472B"/>
    <w:rsid w:val="002268A6"/>
    <w:rsid w:val="0024011F"/>
    <w:rsid w:val="00242AE1"/>
    <w:rsid w:val="00243731"/>
    <w:rsid w:val="00245F1C"/>
    <w:rsid w:val="00255DAD"/>
    <w:rsid w:val="00256C52"/>
    <w:rsid w:val="002645B9"/>
    <w:rsid w:val="00265049"/>
    <w:rsid w:val="00266EC3"/>
    <w:rsid w:val="00270EFB"/>
    <w:rsid w:val="00271AE8"/>
    <w:rsid w:val="002742A9"/>
    <w:rsid w:val="002803CC"/>
    <w:rsid w:val="00281130"/>
    <w:rsid w:val="00283393"/>
    <w:rsid w:val="00286414"/>
    <w:rsid w:val="00291F09"/>
    <w:rsid w:val="002954F3"/>
    <w:rsid w:val="0029568A"/>
    <w:rsid w:val="002A0A35"/>
    <w:rsid w:val="002A1179"/>
    <w:rsid w:val="002A4918"/>
    <w:rsid w:val="002A677D"/>
    <w:rsid w:val="002A6AB5"/>
    <w:rsid w:val="002B3AE8"/>
    <w:rsid w:val="002B75EC"/>
    <w:rsid w:val="002D4671"/>
    <w:rsid w:val="002E208A"/>
    <w:rsid w:val="002E40B6"/>
    <w:rsid w:val="002E71FE"/>
    <w:rsid w:val="002F5829"/>
    <w:rsid w:val="003024E3"/>
    <w:rsid w:val="00302E12"/>
    <w:rsid w:val="00312B2C"/>
    <w:rsid w:val="003159B8"/>
    <w:rsid w:val="003238E2"/>
    <w:rsid w:val="00325347"/>
    <w:rsid w:val="003254F7"/>
    <w:rsid w:val="00330BB9"/>
    <w:rsid w:val="00332034"/>
    <w:rsid w:val="00333561"/>
    <w:rsid w:val="0033465D"/>
    <w:rsid w:val="00335AAC"/>
    <w:rsid w:val="00336F8B"/>
    <w:rsid w:val="00337E44"/>
    <w:rsid w:val="00341B6C"/>
    <w:rsid w:val="003429DB"/>
    <w:rsid w:val="00346AEC"/>
    <w:rsid w:val="00353C2D"/>
    <w:rsid w:val="00365154"/>
    <w:rsid w:val="00365F49"/>
    <w:rsid w:val="00366242"/>
    <w:rsid w:val="00366A04"/>
    <w:rsid w:val="00371440"/>
    <w:rsid w:val="00371486"/>
    <w:rsid w:val="003731B0"/>
    <w:rsid w:val="003773A2"/>
    <w:rsid w:val="00386A2D"/>
    <w:rsid w:val="00392B16"/>
    <w:rsid w:val="00392BD4"/>
    <w:rsid w:val="00393857"/>
    <w:rsid w:val="00393C7D"/>
    <w:rsid w:val="0039499A"/>
    <w:rsid w:val="003A451F"/>
    <w:rsid w:val="003A541C"/>
    <w:rsid w:val="003A6AEF"/>
    <w:rsid w:val="003A723E"/>
    <w:rsid w:val="003B4504"/>
    <w:rsid w:val="003B4811"/>
    <w:rsid w:val="003C6C06"/>
    <w:rsid w:val="003C7223"/>
    <w:rsid w:val="003C7440"/>
    <w:rsid w:val="003D1233"/>
    <w:rsid w:val="003D5815"/>
    <w:rsid w:val="003E2FA2"/>
    <w:rsid w:val="003E4311"/>
    <w:rsid w:val="003E5F88"/>
    <w:rsid w:val="003E66D2"/>
    <w:rsid w:val="003E6CCA"/>
    <w:rsid w:val="003F65AA"/>
    <w:rsid w:val="00403896"/>
    <w:rsid w:val="00403B73"/>
    <w:rsid w:val="004120CF"/>
    <w:rsid w:val="0041753F"/>
    <w:rsid w:val="00417581"/>
    <w:rsid w:val="00417D53"/>
    <w:rsid w:val="004216C0"/>
    <w:rsid w:val="00435BDA"/>
    <w:rsid w:val="0044126B"/>
    <w:rsid w:val="00443642"/>
    <w:rsid w:val="00443CEC"/>
    <w:rsid w:val="00444933"/>
    <w:rsid w:val="00454760"/>
    <w:rsid w:val="0045533B"/>
    <w:rsid w:val="0045539A"/>
    <w:rsid w:val="004614FA"/>
    <w:rsid w:val="00464FE4"/>
    <w:rsid w:val="00465265"/>
    <w:rsid w:val="004654D4"/>
    <w:rsid w:val="0046653F"/>
    <w:rsid w:val="00473963"/>
    <w:rsid w:val="00480E94"/>
    <w:rsid w:val="00481510"/>
    <w:rsid w:val="004817A2"/>
    <w:rsid w:val="00485624"/>
    <w:rsid w:val="00490BB8"/>
    <w:rsid w:val="0049129B"/>
    <w:rsid w:val="00493D72"/>
    <w:rsid w:val="00495461"/>
    <w:rsid w:val="00496340"/>
    <w:rsid w:val="004A28E1"/>
    <w:rsid w:val="004A6DB7"/>
    <w:rsid w:val="004A6F4D"/>
    <w:rsid w:val="004B0807"/>
    <w:rsid w:val="004B1A6A"/>
    <w:rsid w:val="004B4950"/>
    <w:rsid w:val="004B68E5"/>
    <w:rsid w:val="004E0F63"/>
    <w:rsid w:val="004E69F3"/>
    <w:rsid w:val="004E7112"/>
    <w:rsid w:val="004F2C29"/>
    <w:rsid w:val="004F733A"/>
    <w:rsid w:val="00504021"/>
    <w:rsid w:val="00507DA2"/>
    <w:rsid w:val="00510779"/>
    <w:rsid w:val="00512F2D"/>
    <w:rsid w:val="00514B6E"/>
    <w:rsid w:val="005254D7"/>
    <w:rsid w:val="005262F8"/>
    <w:rsid w:val="0052721B"/>
    <w:rsid w:val="005275A7"/>
    <w:rsid w:val="005276ED"/>
    <w:rsid w:val="00535CFF"/>
    <w:rsid w:val="0054026A"/>
    <w:rsid w:val="005425C4"/>
    <w:rsid w:val="005518E3"/>
    <w:rsid w:val="00551A73"/>
    <w:rsid w:val="005560C6"/>
    <w:rsid w:val="00557395"/>
    <w:rsid w:val="00557BB2"/>
    <w:rsid w:val="00560CA0"/>
    <w:rsid w:val="005613B2"/>
    <w:rsid w:val="00570148"/>
    <w:rsid w:val="00571230"/>
    <w:rsid w:val="00576514"/>
    <w:rsid w:val="00577532"/>
    <w:rsid w:val="0058189B"/>
    <w:rsid w:val="00583F6E"/>
    <w:rsid w:val="0058602B"/>
    <w:rsid w:val="005862CB"/>
    <w:rsid w:val="00590198"/>
    <w:rsid w:val="00593A58"/>
    <w:rsid w:val="00593D7E"/>
    <w:rsid w:val="00594071"/>
    <w:rsid w:val="005A0D09"/>
    <w:rsid w:val="005A5F14"/>
    <w:rsid w:val="005B47F8"/>
    <w:rsid w:val="005B5ADA"/>
    <w:rsid w:val="005B6B88"/>
    <w:rsid w:val="005C136F"/>
    <w:rsid w:val="005C3905"/>
    <w:rsid w:val="005C5254"/>
    <w:rsid w:val="005C6A7A"/>
    <w:rsid w:val="005D011D"/>
    <w:rsid w:val="005D08B0"/>
    <w:rsid w:val="005D329C"/>
    <w:rsid w:val="005D41CB"/>
    <w:rsid w:val="005D5760"/>
    <w:rsid w:val="005E667E"/>
    <w:rsid w:val="005F105F"/>
    <w:rsid w:val="005F1BAA"/>
    <w:rsid w:val="005F1F85"/>
    <w:rsid w:val="005F39F3"/>
    <w:rsid w:val="005F6B77"/>
    <w:rsid w:val="00600415"/>
    <w:rsid w:val="00606EA0"/>
    <w:rsid w:val="0060750E"/>
    <w:rsid w:val="0060784B"/>
    <w:rsid w:val="00611994"/>
    <w:rsid w:val="00611A10"/>
    <w:rsid w:val="0061372D"/>
    <w:rsid w:val="006141A9"/>
    <w:rsid w:val="00621EBB"/>
    <w:rsid w:val="006220C1"/>
    <w:rsid w:val="00623942"/>
    <w:rsid w:val="00623DB3"/>
    <w:rsid w:val="006249E8"/>
    <w:rsid w:val="00625322"/>
    <w:rsid w:val="00627F46"/>
    <w:rsid w:val="006317C0"/>
    <w:rsid w:val="00632AC0"/>
    <w:rsid w:val="0063316D"/>
    <w:rsid w:val="006358A7"/>
    <w:rsid w:val="0064295B"/>
    <w:rsid w:val="006430D3"/>
    <w:rsid w:val="006653E8"/>
    <w:rsid w:val="006658B0"/>
    <w:rsid w:val="006708AE"/>
    <w:rsid w:val="00681E05"/>
    <w:rsid w:val="00690EF9"/>
    <w:rsid w:val="00692A11"/>
    <w:rsid w:val="00694BAD"/>
    <w:rsid w:val="006977EF"/>
    <w:rsid w:val="006A15CF"/>
    <w:rsid w:val="006A4961"/>
    <w:rsid w:val="006A6FE8"/>
    <w:rsid w:val="006B0A46"/>
    <w:rsid w:val="006B1684"/>
    <w:rsid w:val="006B49DC"/>
    <w:rsid w:val="006B6975"/>
    <w:rsid w:val="006B7CE6"/>
    <w:rsid w:val="006C13AF"/>
    <w:rsid w:val="006C3DA1"/>
    <w:rsid w:val="006D2520"/>
    <w:rsid w:val="006D38F0"/>
    <w:rsid w:val="006E00F7"/>
    <w:rsid w:val="006F16C9"/>
    <w:rsid w:val="006F2634"/>
    <w:rsid w:val="006F5AF8"/>
    <w:rsid w:val="006F5D2D"/>
    <w:rsid w:val="00700404"/>
    <w:rsid w:val="00712D10"/>
    <w:rsid w:val="00717752"/>
    <w:rsid w:val="00717EAF"/>
    <w:rsid w:val="0072547E"/>
    <w:rsid w:val="0072698E"/>
    <w:rsid w:val="00726B57"/>
    <w:rsid w:val="007349BB"/>
    <w:rsid w:val="00735627"/>
    <w:rsid w:val="00735EA4"/>
    <w:rsid w:val="007364F3"/>
    <w:rsid w:val="00745491"/>
    <w:rsid w:val="00747DA7"/>
    <w:rsid w:val="00753DAB"/>
    <w:rsid w:val="007547A1"/>
    <w:rsid w:val="00756177"/>
    <w:rsid w:val="00763431"/>
    <w:rsid w:val="00764DD6"/>
    <w:rsid w:val="00767989"/>
    <w:rsid w:val="00771B3F"/>
    <w:rsid w:val="007723B9"/>
    <w:rsid w:val="00773867"/>
    <w:rsid w:val="00782F42"/>
    <w:rsid w:val="00786F9D"/>
    <w:rsid w:val="00792240"/>
    <w:rsid w:val="00794187"/>
    <w:rsid w:val="00797FB3"/>
    <w:rsid w:val="007A2B49"/>
    <w:rsid w:val="007A2BA9"/>
    <w:rsid w:val="007A3DBC"/>
    <w:rsid w:val="007A49BD"/>
    <w:rsid w:val="007B45A5"/>
    <w:rsid w:val="007B6C8A"/>
    <w:rsid w:val="007C0FCE"/>
    <w:rsid w:val="007C34DC"/>
    <w:rsid w:val="007C366B"/>
    <w:rsid w:val="007C3B90"/>
    <w:rsid w:val="007C49C7"/>
    <w:rsid w:val="007C4B67"/>
    <w:rsid w:val="007C786B"/>
    <w:rsid w:val="007C7B1B"/>
    <w:rsid w:val="007D617A"/>
    <w:rsid w:val="007D72ED"/>
    <w:rsid w:val="007E2393"/>
    <w:rsid w:val="007E57FF"/>
    <w:rsid w:val="007F6BEC"/>
    <w:rsid w:val="00801CB4"/>
    <w:rsid w:val="00802761"/>
    <w:rsid w:val="00802E1D"/>
    <w:rsid w:val="00805FC4"/>
    <w:rsid w:val="00810D83"/>
    <w:rsid w:val="00816D49"/>
    <w:rsid w:val="00823025"/>
    <w:rsid w:val="0082570C"/>
    <w:rsid w:val="008270F2"/>
    <w:rsid w:val="008318EE"/>
    <w:rsid w:val="00840F8E"/>
    <w:rsid w:val="008479DB"/>
    <w:rsid w:val="00847E8E"/>
    <w:rsid w:val="008506BC"/>
    <w:rsid w:val="008518F0"/>
    <w:rsid w:val="008520F6"/>
    <w:rsid w:val="0085245C"/>
    <w:rsid w:val="00855619"/>
    <w:rsid w:val="00861753"/>
    <w:rsid w:val="00871251"/>
    <w:rsid w:val="00871C18"/>
    <w:rsid w:val="00871C4D"/>
    <w:rsid w:val="00877DAB"/>
    <w:rsid w:val="00880BEC"/>
    <w:rsid w:val="00880F6F"/>
    <w:rsid w:val="0088139B"/>
    <w:rsid w:val="00881C0D"/>
    <w:rsid w:val="00882EDF"/>
    <w:rsid w:val="008879EC"/>
    <w:rsid w:val="00890D1C"/>
    <w:rsid w:val="00890D76"/>
    <w:rsid w:val="008960FD"/>
    <w:rsid w:val="008A0174"/>
    <w:rsid w:val="008A1D09"/>
    <w:rsid w:val="008B1666"/>
    <w:rsid w:val="008B6482"/>
    <w:rsid w:val="008C5EC0"/>
    <w:rsid w:val="008D63DC"/>
    <w:rsid w:val="008E08C3"/>
    <w:rsid w:val="008E2108"/>
    <w:rsid w:val="008E214F"/>
    <w:rsid w:val="008E3656"/>
    <w:rsid w:val="008E3B5B"/>
    <w:rsid w:val="008F1E25"/>
    <w:rsid w:val="008F712A"/>
    <w:rsid w:val="009033A8"/>
    <w:rsid w:val="009035F1"/>
    <w:rsid w:val="00917A23"/>
    <w:rsid w:val="00917B28"/>
    <w:rsid w:val="0092130F"/>
    <w:rsid w:val="00926C3E"/>
    <w:rsid w:val="00934EEC"/>
    <w:rsid w:val="00935103"/>
    <w:rsid w:val="00941220"/>
    <w:rsid w:val="009436B3"/>
    <w:rsid w:val="00944022"/>
    <w:rsid w:val="009448CC"/>
    <w:rsid w:val="00947B85"/>
    <w:rsid w:val="00947C90"/>
    <w:rsid w:val="00950DA2"/>
    <w:rsid w:val="00954531"/>
    <w:rsid w:val="009558A5"/>
    <w:rsid w:val="009573BB"/>
    <w:rsid w:val="00964B96"/>
    <w:rsid w:val="00970DE2"/>
    <w:rsid w:val="0097613A"/>
    <w:rsid w:val="00977FD9"/>
    <w:rsid w:val="009813BA"/>
    <w:rsid w:val="00983A21"/>
    <w:rsid w:val="009853E2"/>
    <w:rsid w:val="00996E0A"/>
    <w:rsid w:val="00996FA7"/>
    <w:rsid w:val="00997099"/>
    <w:rsid w:val="009A3578"/>
    <w:rsid w:val="009A5E6A"/>
    <w:rsid w:val="009A6026"/>
    <w:rsid w:val="009B0F8F"/>
    <w:rsid w:val="009C31B3"/>
    <w:rsid w:val="009C348D"/>
    <w:rsid w:val="009C37C0"/>
    <w:rsid w:val="009C40BD"/>
    <w:rsid w:val="009D074C"/>
    <w:rsid w:val="009D0794"/>
    <w:rsid w:val="009D0F8E"/>
    <w:rsid w:val="009D1E3B"/>
    <w:rsid w:val="009D4539"/>
    <w:rsid w:val="009D79DE"/>
    <w:rsid w:val="009E0617"/>
    <w:rsid w:val="009E07B1"/>
    <w:rsid w:val="009E7A90"/>
    <w:rsid w:val="009F01F7"/>
    <w:rsid w:val="00A068E1"/>
    <w:rsid w:val="00A07628"/>
    <w:rsid w:val="00A10000"/>
    <w:rsid w:val="00A114E4"/>
    <w:rsid w:val="00A179C8"/>
    <w:rsid w:val="00A2000F"/>
    <w:rsid w:val="00A22FD9"/>
    <w:rsid w:val="00A245B3"/>
    <w:rsid w:val="00A327BC"/>
    <w:rsid w:val="00A34FB3"/>
    <w:rsid w:val="00A3522F"/>
    <w:rsid w:val="00A36F69"/>
    <w:rsid w:val="00A40B47"/>
    <w:rsid w:val="00A412C6"/>
    <w:rsid w:val="00A4309D"/>
    <w:rsid w:val="00A45421"/>
    <w:rsid w:val="00A51F35"/>
    <w:rsid w:val="00A53A37"/>
    <w:rsid w:val="00A56143"/>
    <w:rsid w:val="00A60310"/>
    <w:rsid w:val="00A6275D"/>
    <w:rsid w:val="00A62858"/>
    <w:rsid w:val="00A63357"/>
    <w:rsid w:val="00A67890"/>
    <w:rsid w:val="00A678D8"/>
    <w:rsid w:val="00A72D66"/>
    <w:rsid w:val="00A73DEB"/>
    <w:rsid w:val="00A7587E"/>
    <w:rsid w:val="00A8187B"/>
    <w:rsid w:val="00A849E2"/>
    <w:rsid w:val="00A85FFC"/>
    <w:rsid w:val="00A876CC"/>
    <w:rsid w:val="00A91240"/>
    <w:rsid w:val="00A92AF3"/>
    <w:rsid w:val="00A93B94"/>
    <w:rsid w:val="00A93E49"/>
    <w:rsid w:val="00A9520F"/>
    <w:rsid w:val="00A960B4"/>
    <w:rsid w:val="00A97ECF"/>
    <w:rsid w:val="00AA158F"/>
    <w:rsid w:val="00AA4889"/>
    <w:rsid w:val="00AA4939"/>
    <w:rsid w:val="00AA5190"/>
    <w:rsid w:val="00AB1034"/>
    <w:rsid w:val="00AB1AE0"/>
    <w:rsid w:val="00AB5DD8"/>
    <w:rsid w:val="00AB5E06"/>
    <w:rsid w:val="00AB6A45"/>
    <w:rsid w:val="00AB6C46"/>
    <w:rsid w:val="00AC3201"/>
    <w:rsid w:val="00AC4840"/>
    <w:rsid w:val="00AC6E64"/>
    <w:rsid w:val="00AD423C"/>
    <w:rsid w:val="00AD71EF"/>
    <w:rsid w:val="00AE17E6"/>
    <w:rsid w:val="00AE2C3F"/>
    <w:rsid w:val="00B04880"/>
    <w:rsid w:val="00B054D1"/>
    <w:rsid w:val="00B05659"/>
    <w:rsid w:val="00B062EA"/>
    <w:rsid w:val="00B06671"/>
    <w:rsid w:val="00B11ADE"/>
    <w:rsid w:val="00B12B57"/>
    <w:rsid w:val="00B16849"/>
    <w:rsid w:val="00B21152"/>
    <w:rsid w:val="00B2609F"/>
    <w:rsid w:val="00B26689"/>
    <w:rsid w:val="00B32541"/>
    <w:rsid w:val="00B32C21"/>
    <w:rsid w:val="00B435F3"/>
    <w:rsid w:val="00B442D5"/>
    <w:rsid w:val="00B465F8"/>
    <w:rsid w:val="00B55BD6"/>
    <w:rsid w:val="00B567AC"/>
    <w:rsid w:val="00B626DD"/>
    <w:rsid w:val="00B65669"/>
    <w:rsid w:val="00B70661"/>
    <w:rsid w:val="00B71B1F"/>
    <w:rsid w:val="00B74820"/>
    <w:rsid w:val="00B75311"/>
    <w:rsid w:val="00B7755E"/>
    <w:rsid w:val="00B861FA"/>
    <w:rsid w:val="00B87A8D"/>
    <w:rsid w:val="00B90D95"/>
    <w:rsid w:val="00B925E0"/>
    <w:rsid w:val="00BA150C"/>
    <w:rsid w:val="00BA226A"/>
    <w:rsid w:val="00BA4E6E"/>
    <w:rsid w:val="00BA510F"/>
    <w:rsid w:val="00BA524D"/>
    <w:rsid w:val="00BA6CC7"/>
    <w:rsid w:val="00BA6CF2"/>
    <w:rsid w:val="00BB1393"/>
    <w:rsid w:val="00BB276B"/>
    <w:rsid w:val="00BB4B26"/>
    <w:rsid w:val="00BC665D"/>
    <w:rsid w:val="00BC6997"/>
    <w:rsid w:val="00BD3DD5"/>
    <w:rsid w:val="00BD3F77"/>
    <w:rsid w:val="00BE1795"/>
    <w:rsid w:val="00BE17E4"/>
    <w:rsid w:val="00BE1BA7"/>
    <w:rsid w:val="00BE2B9C"/>
    <w:rsid w:val="00BE3658"/>
    <w:rsid w:val="00BE6A92"/>
    <w:rsid w:val="00BE7573"/>
    <w:rsid w:val="00BF043D"/>
    <w:rsid w:val="00BF2B99"/>
    <w:rsid w:val="00C00C28"/>
    <w:rsid w:val="00C055CA"/>
    <w:rsid w:val="00C06282"/>
    <w:rsid w:val="00C062D6"/>
    <w:rsid w:val="00C13536"/>
    <w:rsid w:val="00C3198C"/>
    <w:rsid w:val="00C32B82"/>
    <w:rsid w:val="00C34CF7"/>
    <w:rsid w:val="00C36290"/>
    <w:rsid w:val="00C37970"/>
    <w:rsid w:val="00C52561"/>
    <w:rsid w:val="00C55459"/>
    <w:rsid w:val="00C579F3"/>
    <w:rsid w:val="00C608FC"/>
    <w:rsid w:val="00C63152"/>
    <w:rsid w:val="00C634C6"/>
    <w:rsid w:val="00C669EF"/>
    <w:rsid w:val="00C744E0"/>
    <w:rsid w:val="00C74DB4"/>
    <w:rsid w:val="00C7617D"/>
    <w:rsid w:val="00C77084"/>
    <w:rsid w:val="00C77C4C"/>
    <w:rsid w:val="00C77DD7"/>
    <w:rsid w:val="00C8075F"/>
    <w:rsid w:val="00C81DC4"/>
    <w:rsid w:val="00C821E1"/>
    <w:rsid w:val="00C824F3"/>
    <w:rsid w:val="00C85DE0"/>
    <w:rsid w:val="00C90654"/>
    <w:rsid w:val="00C923DA"/>
    <w:rsid w:val="00C97B79"/>
    <w:rsid w:val="00C97CE3"/>
    <w:rsid w:val="00CA4892"/>
    <w:rsid w:val="00CA555C"/>
    <w:rsid w:val="00CB04B6"/>
    <w:rsid w:val="00CB1A6C"/>
    <w:rsid w:val="00CC2106"/>
    <w:rsid w:val="00CC526D"/>
    <w:rsid w:val="00CD30EB"/>
    <w:rsid w:val="00CD32EF"/>
    <w:rsid w:val="00CD3FEE"/>
    <w:rsid w:val="00CD5861"/>
    <w:rsid w:val="00CD5D0D"/>
    <w:rsid w:val="00CE12D1"/>
    <w:rsid w:val="00CE153C"/>
    <w:rsid w:val="00CE166A"/>
    <w:rsid w:val="00CE26E1"/>
    <w:rsid w:val="00CE3404"/>
    <w:rsid w:val="00CE54F0"/>
    <w:rsid w:val="00CE553B"/>
    <w:rsid w:val="00CE5BAC"/>
    <w:rsid w:val="00CE71D8"/>
    <w:rsid w:val="00CF12A4"/>
    <w:rsid w:val="00D00D11"/>
    <w:rsid w:val="00D07A37"/>
    <w:rsid w:val="00D10C0E"/>
    <w:rsid w:val="00D11798"/>
    <w:rsid w:val="00D12A1F"/>
    <w:rsid w:val="00D15821"/>
    <w:rsid w:val="00D30E95"/>
    <w:rsid w:val="00D478E6"/>
    <w:rsid w:val="00D5192C"/>
    <w:rsid w:val="00D5218F"/>
    <w:rsid w:val="00D53738"/>
    <w:rsid w:val="00D55DAA"/>
    <w:rsid w:val="00D578E5"/>
    <w:rsid w:val="00D57C4E"/>
    <w:rsid w:val="00D64354"/>
    <w:rsid w:val="00D879DC"/>
    <w:rsid w:val="00D90E24"/>
    <w:rsid w:val="00D91935"/>
    <w:rsid w:val="00D9277B"/>
    <w:rsid w:val="00D95F53"/>
    <w:rsid w:val="00DA50AB"/>
    <w:rsid w:val="00DB6E81"/>
    <w:rsid w:val="00DC071E"/>
    <w:rsid w:val="00DC3BC5"/>
    <w:rsid w:val="00DD2500"/>
    <w:rsid w:val="00DD2BA6"/>
    <w:rsid w:val="00DD5E59"/>
    <w:rsid w:val="00DD7248"/>
    <w:rsid w:val="00DE069B"/>
    <w:rsid w:val="00DE2085"/>
    <w:rsid w:val="00DE2D4A"/>
    <w:rsid w:val="00DE6B1E"/>
    <w:rsid w:val="00DE6BC3"/>
    <w:rsid w:val="00DE6DA3"/>
    <w:rsid w:val="00DF04C3"/>
    <w:rsid w:val="00DF2F23"/>
    <w:rsid w:val="00DF53AC"/>
    <w:rsid w:val="00E0329C"/>
    <w:rsid w:val="00E03F66"/>
    <w:rsid w:val="00E04370"/>
    <w:rsid w:val="00E05C7A"/>
    <w:rsid w:val="00E06C0E"/>
    <w:rsid w:val="00E12DE3"/>
    <w:rsid w:val="00E1475E"/>
    <w:rsid w:val="00E1644D"/>
    <w:rsid w:val="00E25950"/>
    <w:rsid w:val="00E322A8"/>
    <w:rsid w:val="00E332A0"/>
    <w:rsid w:val="00E35D35"/>
    <w:rsid w:val="00E36315"/>
    <w:rsid w:val="00E4691C"/>
    <w:rsid w:val="00E51111"/>
    <w:rsid w:val="00E51A2A"/>
    <w:rsid w:val="00E5595D"/>
    <w:rsid w:val="00E56CE8"/>
    <w:rsid w:val="00E60D27"/>
    <w:rsid w:val="00E620C0"/>
    <w:rsid w:val="00E66F39"/>
    <w:rsid w:val="00E708C2"/>
    <w:rsid w:val="00E7682A"/>
    <w:rsid w:val="00E86422"/>
    <w:rsid w:val="00E904DF"/>
    <w:rsid w:val="00EA00B1"/>
    <w:rsid w:val="00EA0B23"/>
    <w:rsid w:val="00EC1E58"/>
    <w:rsid w:val="00EC1FD6"/>
    <w:rsid w:val="00EC32A5"/>
    <w:rsid w:val="00EC32EC"/>
    <w:rsid w:val="00EC4CF5"/>
    <w:rsid w:val="00ED1AA8"/>
    <w:rsid w:val="00ED2F3A"/>
    <w:rsid w:val="00ED7525"/>
    <w:rsid w:val="00EE124D"/>
    <w:rsid w:val="00EE24E5"/>
    <w:rsid w:val="00F063C2"/>
    <w:rsid w:val="00F105AB"/>
    <w:rsid w:val="00F14C9D"/>
    <w:rsid w:val="00F16013"/>
    <w:rsid w:val="00F1737B"/>
    <w:rsid w:val="00F17384"/>
    <w:rsid w:val="00F1794B"/>
    <w:rsid w:val="00F21B4A"/>
    <w:rsid w:val="00F24739"/>
    <w:rsid w:val="00F33B64"/>
    <w:rsid w:val="00F36BEA"/>
    <w:rsid w:val="00F370FA"/>
    <w:rsid w:val="00F50A94"/>
    <w:rsid w:val="00F510C4"/>
    <w:rsid w:val="00F53530"/>
    <w:rsid w:val="00F56CE9"/>
    <w:rsid w:val="00F60BFA"/>
    <w:rsid w:val="00F62CDD"/>
    <w:rsid w:val="00F63338"/>
    <w:rsid w:val="00F639CE"/>
    <w:rsid w:val="00F64DD8"/>
    <w:rsid w:val="00F64EE3"/>
    <w:rsid w:val="00F76A4F"/>
    <w:rsid w:val="00F8100B"/>
    <w:rsid w:val="00F81AB0"/>
    <w:rsid w:val="00F83440"/>
    <w:rsid w:val="00F83734"/>
    <w:rsid w:val="00F850D3"/>
    <w:rsid w:val="00F975EC"/>
    <w:rsid w:val="00FA0DDA"/>
    <w:rsid w:val="00FA2BE1"/>
    <w:rsid w:val="00FA5553"/>
    <w:rsid w:val="00FB441B"/>
    <w:rsid w:val="00FB52E4"/>
    <w:rsid w:val="00FB58D0"/>
    <w:rsid w:val="00FD3173"/>
    <w:rsid w:val="00FD634C"/>
    <w:rsid w:val="00FD67CB"/>
    <w:rsid w:val="00FE05B2"/>
    <w:rsid w:val="00FE4BC7"/>
    <w:rsid w:val="00FF2666"/>
    <w:rsid w:val="00FF50C6"/>
    <w:rsid w:val="00FF5C64"/>
    <w:rsid w:val="00FF6147"/>
    <w:rsid w:val="01EDA445"/>
    <w:rsid w:val="0217B2FA"/>
    <w:rsid w:val="0937908B"/>
    <w:rsid w:val="0D048C91"/>
    <w:rsid w:val="0FE6491B"/>
    <w:rsid w:val="10DA2D6D"/>
    <w:rsid w:val="14CE483A"/>
    <w:rsid w:val="15D467E5"/>
    <w:rsid w:val="195CF1EB"/>
    <w:rsid w:val="1B3C9D92"/>
    <w:rsid w:val="20C07987"/>
    <w:rsid w:val="21F804F3"/>
    <w:rsid w:val="2258931A"/>
    <w:rsid w:val="2782891A"/>
    <w:rsid w:val="34264931"/>
    <w:rsid w:val="3736F7FC"/>
    <w:rsid w:val="39B8C666"/>
    <w:rsid w:val="3C80DED4"/>
    <w:rsid w:val="3DD02F92"/>
    <w:rsid w:val="3FCABECB"/>
    <w:rsid w:val="4154B5BF"/>
    <w:rsid w:val="44195F09"/>
    <w:rsid w:val="46E99FCF"/>
    <w:rsid w:val="47028A7B"/>
    <w:rsid w:val="49C5CA9A"/>
    <w:rsid w:val="4B9B1900"/>
    <w:rsid w:val="4BFBF4D0"/>
    <w:rsid w:val="5572EE67"/>
    <w:rsid w:val="564D6BC0"/>
    <w:rsid w:val="5767D246"/>
    <w:rsid w:val="5B001B30"/>
    <w:rsid w:val="5B2981C0"/>
    <w:rsid w:val="5CF424A2"/>
    <w:rsid w:val="5E1E3AA5"/>
    <w:rsid w:val="5E88A6A8"/>
    <w:rsid w:val="6095ADAA"/>
    <w:rsid w:val="618E0E46"/>
    <w:rsid w:val="61D08B00"/>
    <w:rsid w:val="62E386F6"/>
    <w:rsid w:val="6AEE99D9"/>
    <w:rsid w:val="741E223E"/>
    <w:rsid w:val="76A3E421"/>
    <w:rsid w:val="786F0485"/>
    <w:rsid w:val="7D6E48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C9C0B1B7-2ACF-4879-8FBB-8E6E583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paragraph" w:styleId="FootnoteText">
    <w:name w:val="footnote text"/>
    <w:basedOn w:val="Normal"/>
    <w:link w:val="FootnoteTextChar"/>
    <w:uiPriority w:val="99"/>
    <w:semiHidden/>
    <w:unhideWhenUsed/>
    <w:rsid w:val="00C37970"/>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C37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ukri.sharepoint.com/sites/thesource/SitePages/EDI-across-UKRI.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SSVJ533UJCM2-2088875932-109531</_dlc_DocId>
    <_dlc_DocIdUrl xmlns="36ebd4db-6f78-4d9b-a8bd-dda683c55855">
      <Url>https://ukri.sharepoint.com/sites/og_SP-Grants/_layouts/15/DocIdRedir.aspx?ID=SSVJ533UJCM2-2088875932-109531</Url>
      <Description>SSVJ533UJCM2-2088875932-109531</Description>
    </_dlc_DocIdUrl>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Funding xmlns="4069d3dd-aad9-4e38-b1c0-16c2c423882e" xsi:nil="true"/>
    <DocumentType xmlns="4069d3dd-aad9-4e38-b1c0-16c2c423882e" xsi:nil="true"/>
    <OPPStatus xmlns="4069d3dd-aad9-4e38-b1c0-16c2c42388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b9fd347cd3571ca7e7e461444abb25ce">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ce58e14df225c71a9afedc1f4adacae"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Research Grant"/>
          <xsd:enumeration value="Training"/>
          <xsd:enumeration value="Fellowship"/>
          <xsd:enumeration value="Travel Grant"/>
          <xsd:enumeration value="Translation"/>
          <xsd:enumeration value="Commercialisation"/>
          <xsd:enumeration value="Applicant Led no deadline"/>
          <xsd:enumeration value="Knowledge Exchange"/>
          <xsd:enumeration value="Public Engagement"/>
          <xsd:enumeration value="Networks"/>
          <xsd:enumeration value="Travel Grant"/>
          <xsd:enumeration value="Translation"/>
          <xsd:enumeration value="Infrastructure"/>
          <xsd:enumeration value="Base Funding"/>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AD6CD-4B9E-4396-A5B7-BA7965ECAE76}">
  <ds:schemaRefs>
    <ds:schemaRef ds:uri="http://www.imanage.com/work/xmlschema"/>
  </ds:schemaRefs>
</ds:datastoreItem>
</file>

<file path=customXml/itemProps2.xml><?xml version="1.0" encoding="utf-8"?>
<ds:datastoreItem xmlns:ds="http://schemas.openxmlformats.org/officeDocument/2006/customXml" ds:itemID="{FB86B5D7-60EE-4559-8045-92E2E7BA7019}">
  <ds:schemaRefs>
    <ds:schemaRef ds:uri="http://schemas.microsoft.com/sharepoint/events"/>
  </ds:schemaRefs>
</ds:datastoreItem>
</file>

<file path=customXml/itemProps3.xml><?xml version="1.0" encoding="utf-8"?>
<ds:datastoreItem xmlns:ds="http://schemas.openxmlformats.org/officeDocument/2006/customXml" ds:itemID="{1E0E25C5-BD44-4E2A-939E-DD4DE970574E}">
  <ds:schemaRefs>
    <ds:schemaRef ds:uri="36ebd4db-6f78-4d9b-a8bd-dda683c55855"/>
    <ds:schemaRef ds:uri="http://schemas.openxmlformats.org/package/2006/metadata/core-properties"/>
    <ds:schemaRef ds:uri="http://purl.org/dc/elements/1.1/"/>
    <ds:schemaRef ds:uri="http://schemas.microsoft.com/office/2006/documentManagement/types"/>
    <ds:schemaRef ds:uri="4069d3dd-aad9-4e38-b1c0-16c2c423882e"/>
    <ds:schemaRef ds:uri="http://purl.org/dc/terms/"/>
    <ds:schemaRef ds:uri="2e24dfb7-a69e-40eb-b94f-44b9ca9c25ed"/>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5.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customXml/itemProps6.xml><?xml version="1.0" encoding="utf-8"?>
<ds:datastoreItem xmlns:ds="http://schemas.openxmlformats.org/officeDocument/2006/customXml" ds:itemID="{2BA76AAC-06F8-4DBB-BD7E-8A515FA2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Becci Hutchins - AHRC UKRI</cp:lastModifiedBy>
  <cp:revision>5</cp:revision>
  <dcterms:created xsi:type="dcterms:W3CDTF">2025-10-17T09:33:00Z</dcterms:created>
  <dcterms:modified xsi:type="dcterms:W3CDTF">2025-10-20T14:19:00Z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bcede6e3-8e23-4e7a-afab-ebb6529657c1</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ies>
</file>