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7897E" w14:textId="77777777" w:rsidR="001F62C7" w:rsidRPr="005C3905" w:rsidRDefault="001F62C7" w:rsidP="001F62C7">
      <w:pPr>
        <w:pStyle w:val="Heading1"/>
      </w:pPr>
    </w:p>
    <w:p w14:paraId="6F8034F4" w14:textId="77777777" w:rsidR="001F62C7" w:rsidRPr="005C3905" w:rsidRDefault="001F62C7" w:rsidP="001F62C7">
      <w:pPr>
        <w:pStyle w:val="Heading1"/>
      </w:pPr>
    </w:p>
    <w:p w14:paraId="54E07CB2" w14:textId="77777777" w:rsidR="001F62C7" w:rsidRPr="005C3905" w:rsidRDefault="001F62C7" w:rsidP="001F62C7">
      <w:pPr>
        <w:pStyle w:val="Heading1"/>
        <w:rPr>
          <w:rStyle w:val="IntenseEmphasis"/>
        </w:rPr>
      </w:pPr>
    </w:p>
    <w:p w14:paraId="64526FD0" w14:textId="42199012" w:rsidR="00B55BD6" w:rsidRPr="005C3905" w:rsidRDefault="00A7587E" w:rsidP="00BF043D">
      <w:pPr>
        <w:pStyle w:val="Heading1"/>
        <w:jc w:val="center"/>
      </w:pPr>
      <w:bookmarkStart w:id="0" w:name="_Toc126840920"/>
      <w:bookmarkStart w:id="1" w:name="_Toc126841189"/>
      <w:r w:rsidRPr="005C3905">
        <w:t>UK Research and Innovation</w:t>
      </w:r>
      <w:bookmarkEnd w:id="0"/>
      <w:bookmarkEnd w:id="1"/>
    </w:p>
    <w:p w14:paraId="698AA485" w14:textId="1301D9D7" w:rsidR="00B55BD6" w:rsidRPr="00802E1D" w:rsidRDefault="008E3656" w:rsidP="008B1666">
      <w:pPr>
        <w:pStyle w:val="Heading1"/>
        <w:spacing w:line="259" w:lineRule="auto"/>
        <w:jc w:val="center"/>
      </w:pPr>
      <w:bookmarkStart w:id="2" w:name="_Toc126840921"/>
      <w:bookmarkStart w:id="3" w:name="_Toc126841190"/>
      <w:r w:rsidRPr="00802E1D">
        <w:t>Equality Impact Assessment</w:t>
      </w:r>
      <w:bookmarkEnd w:id="2"/>
      <w:bookmarkEnd w:id="3"/>
    </w:p>
    <w:p w14:paraId="690D3707" w14:textId="3B04FBE8" w:rsidR="00B55BD6" w:rsidRPr="00802E1D" w:rsidRDefault="00B55BD6" w:rsidP="001F62C7">
      <w:pPr>
        <w:rPr>
          <w:rFonts w:cs="Arial"/>
          <w:sz w:val="28"/>
          <w:szCs w:val="28"/>
        </w:rPr>
      </w:pPr>
    </w:p>
    <w:p w14:paraId="4940D07E" w14:textId="568FAAC8" w:rsidR="00B55BD6" w:rsidRPr="00802E1D" w:rsidRDefault="00F83440" w:rsidP="00F83440">
      <w:pPr>
        <w:tabs>
          <w:tab w:val="left" w:pos="6805"/>
        </w:tabs>
        <w:rPr>
          <w:rFonts w:cs="Arial"/>
          <w:sz w:val="28"/>
          <w:szCs w:val="28"/>
        </w:rPr>
      </w:pPr>
      <w:r w:rsidRPr="00802E1D">
        <w:rPr>
          <w:rFonts w:cs="Arial"/>
          <w:sz w:val="28"/>
          <w:szCs w:val="28"/>
        </w:rPr>
        <w:tab/>
      </w:r>
    </w:p>
    <w:p w14:paraId="38A71A4B" w14:textId="5A4B7BDF" w:rsidR="00B55BD6" w:rsidRPr="00802E1D" w:rsidRDefault="00B55BD6" w:rsidP="00BF043D">
      <w:pPr>
        <w:pStyle w:val="Heading2"/>
        <w:jc w:val="center"/>
      </w:pPr>
    </w:p>
    <w:p w14:paraId="10FCB705" w14:textId="119EE533" w:rsidR="0039499A" w:rsidRPr="0039499A" w:rsidRDefault="00B55BD6" w:rsidP="008B1666">
      <w:pPr>
        <w:pStyle w:val="Title"/>
        <w:sectPr w:rsidR="0039499A" w:rsidRPr="0039499A" w:rsidSect="001F62C7">
          <w:headerReference w:type="default" r:id="rId12"/>
          <w:footerReference w:type="even" r:id="rId13"/>
          <w:footerReference w:type="default" r:id="rId14"/>
          <w:pgSz w:w="11900" w:h="16840"/>
          <w:pgMar w:top="2032" w:right="1440" w:bottom="1440" w:left="1440" w:header="267" w:footer="708" w:gutter="0"/>
          <w:cols w:space="708"/>
          <w:docGrid w:linePitch="360"/>
        </w:sectPr>
      </w:pPr>
      <w:r w:rsidRPr="00802E1D">
        <w:br w:type="page"/>
      </w:r>
    </w:p>
    <w:p w14:paraId="29E6F190" w14:textId="42DE00ED" w:rsidR="00C97B79" w:rsidRDefault="00A10000" w:rsidP="00E03F66">
      <w:r>
        <w:lastRenderedPageBreak/>
        <w:t>*</w:t>
      </w:r>
      <w:r w:rsidR="00C97B79">
        <w:t xml:space="preserve">See guidance document for detailed support. </w:t>
      </w:r>
    </w:p>
    <w:p w14:paraId="73BB7324" w14:textId="0DF307FA" w:rsidR="00551A73" w:rsidRDefault="00C97B79" w:rsidP="00E03F66">
      <w:r>
        <w:t xml:space="preserve">* </w:t>
      </w:r>
      <w:r w:rsidR="00E03F66" w:rsidRPr="00FF6147">
        <w:t>Delete the guidance text in the response when completing your EIA.</w:t>
      </w:r>
    </w:p>
    <w:p w14:paraId="1226C12A" w14:textId="486C2B5E" w:rsidR="00BE1795" w:rsidRPr="00FF6147" w:rsidRDefault="00E03F66" w:rsidP="00E03F66">
      <w:pPr>
        <w:pStyle w:val="Heading2"/>
      </w:pPr>
      <w:bookmarkStart w:id="4" w:name="_Toc126841206"/>
      <w:r w:rsidRPr="00FF6147">
        <w:t>Overview of activity</w:t>
      </w:r>
      <w:bookmarkEnd w:id="4"/>
    </w:p>
    <w:tbl>
      <w:tblPr>
        <w:tblStyle w:val="TableGrid"/>
        <w:tblW w:w="15021" w:type="dxa"/>
        <w:tblLook w:val="04A0" w:firstRow="1" w:lastRow="0" w:firstColumn="1" w:lastColumn="0" w:noHBand="0" w:noVBand="1"/>
      </w:tblPr>
      <w:tblGrid>
        <w:gridCol w:w="4673"/>
        <w:gridCol w:w="10348"/>
      </w:tblGrid>
      <w:tr w:rsidR="00E03F66" w:rsidRPr="00FF6147" w14:paraId="7F0236C4" w14:textId="77777777" w:rsidTr="00535CFF">
        <w:trPr>
          <w:trHeight w:val="274"/>
        </w:trPr>
        <w:tc>
          <w:tcPr>
            <w:tcW w:w="4673" w:type="dxa"/>
            <w:shd w:val="clear" w:color="auto" w:fill="D1DEFD" w:themeFill="accent3" w:themeFillTint="33"/>
          </w:tcPr>
          <w:p w14:paraId="7F855D60" w14:textId="77777777" w:rsidR="00E03F66" w:rsidRPr="00FF6147" w:rsidRDefault="00E03F66" w:rsidP="00623DB3"/>
        </w:tc>
        <w:tc>
          <w:tcPr>
            <w:tcW w:w="10348" w:type="dxa"/>
            <w:shd w:val="clear" w:color="auto" w:fill="D1DEFD" w:themeFill="accent3" w:themeFillTint="33"/>
          </w:tcPr>
          <w:p w14:paraId="3A5C38F7" w14:textId="0C8840AE" w:rsidR="00E03F66" w:rsidRPr="00FF6147" w:rsidRDefault="00E03F66" w:rsidP="00623DB3">
            <w:pPr>
              <w:rPr>
                <w:b/>
                <w:bCs/>
              </w:rPr>
            </w:pPr>
            <w:r w:rsidRPr="00FF6147">
              <w:rPr>
                <w:b/>
                <w:bCs/>
              </w:rPr>
              <w:t>Response</w:t>
            </w:r>
          </w:p>
        </w:tc>
      </w:tr>
      <w:tr w:rsidR="00E03F66" w:rsidRPr="00E03F66" w14:paraId="268A1295" w14:textId="77777777" w:rsidTr="00341B6C">
        <w:trPr>
          <w:trHeight w:val="403"/>
        </w:trPr>
        <w:tc>
          <w:tcPr>
            <w:tcW w:w="4673" w:type="dxa"/>
            <w:shd w:val="clear" w:color="auto" w:fill="D1DEFD" w:themeFill="accent3" w:themeFillTint="33"/>
          </w:tcPr>
          <w:p w14:paraId="12FBF1A5" w14:textId="77777777" w:rsidR="00E03F66" w:rsidRPr="00FF6147" w:rsidRDefault="00E03F66" w:rsidP="00623DB3">
            <w:pPr>
              <w:rPr>
                <w:bCs/>
              </w:rPr>
            </w:pPr>
            <w:r w:rsidRPr="00FF6147">
              <w:rPr>
                <w:bCs/>
              </w:rPr>
              <w:t xml:space="preserve">Name of activity being </w:t>
            </w:r>
            <w:proofErr w:type="gramStart"/>
            <w:r w:rsidRPr="00FF6147">
              <w:rPr>
                <w:bCs/>
              </w:rPr>
              <w:t>assessed</w:t>
            </w:r>
            <w:proofErr w:type="gramEnd"/>
          </w:p>
          <w:p w14:paraId="667204E8" w14:textId="77777777" w:rsidR="00E03F66" w:rsidRPr="00E03F66" w:rsidRDefault="00E03F66" w:rsidP="00623DB3">
            <w:pPr>
              <w:rPr>
                <w:bCs/>
              </w:rPr>
            </w:pPr>
          </w:p>
        </w:tc>
        <w:tc>
          <w:tcPr>
            <w:tcW w:w="10348" w:type="dxa"/>
          </w:tcPr>
          <w:p w14:paraId="3F331A70" w14:textId="0798BD3A" w:rsidR="004E0F63" w:rsidRPr="00984580" w:rsidRDefault="00984580" w:rsidP="00A80AFF">
            <w:pPr>
              <w:rPr>
                <w:color w:val="auto"/>
              </w:rPr>
            </w:pPr>
            <w:r w:rsidRPr="00984580">
              <w:rPr>
                <w:color w:val="auto"/>
              </w:rPr>
              <w:t>Enhancing equality, diversity and inclusion in BBSRC-funded networks</w:t>
            </w:r>
          </w:p>
        </w:tc>
      </w:tr>
      <w:tr w:rsidR="00E03F66" w:rsidRPr="00E03F66" w14:paraId="606DF4F7" w14:textId="77777777" w:rsidTr="00341B6C">
        <w:trPr>
          <w:trHeight w:val="453"/>
        </w:trPr>
        <w:tc>
          <w:tcPr>
            <w:tcW w:w="4673" w:type="dxa"/>
            <w:shd w:val="clear" w:color="auto" w:fill="D1DEFD" w:themeFill="accent3" w:themeFillTint="33"/>
          </w:tcPr>
          <w:p w14:paraId="19F79414" w14:textId="77777777" w:rsidR="00E03F66" w:rsidRPr="00FF6147" w:rsidRDefault="00E03F66" w:rsidP="00623DB3">
            <w:pPr>
              <w:rPr>
                <w:bCs/>
              </w:rPr>
            </w:pPr>
            <w:r w:rsidRPr="00FF6147">
              <w:rPr>
                <w:bCs/>
              </w:rPr>
              <w:t>Council/department/project team</w:t>
            </w:r>
          </w:p>
        </w:tc>
        <w:tc>
          <w:tcPr>
            <w:tcW w:w="10348" w:type="dxa"/>
          </w:tcPr>
          <w:p w14:paraId="49F894B6" w14:textId="416EFAD2" w:rsidR="00E03F66" w:rsidRPr="00FF6147" w:rsidRDefault="0008105E" w:rsidP="00623DB3">
            <w:pPr>
              <w:rPr>
                <w:color w:val="3B3838" w:themeColor="background2" w:themeShade="40"/>
              </w:rPr>
            </w:pPr>
            <w:r w:rsidRPr="00984580">
              <w:rPr>
                <w:color w:val="auto"/>
              </w:rPr>
              <w:t>Skills and Careers Unit, BBSRC</w:t>
            </w:r>
          </w:p>
        </w:tc>
      </w:tr>
      <w:tr w:rsidR="00E03F66" w:rsidRPr="00E03F66" w14:paraId="04B491D4" w14:textId="77777777" w:rsidTr="00341B6C">
        <w:trPr>
          <w:trHeight w:val="1354"/>
        </w:trPr>
        <w:tc>
          <w:tcPr>
            <w:tcW w:w="4673" w:type="dxa"/>
            <w:shd w:val="clear" w:color="auto" w:fill="D1DEFD" w:themeFill="accent3" w:themeFillTint="33"/>
          </w:tcPr>
          <w:p w14:paraId="755B8251" w14:textId="77777777" w:rsidR="00E03F66" w:rsidRPr="00E03F66" w:rsidRDefault="00E03F66" w:rsidP="00623DB3">
            <w:pPr>
              <w:rPr>
                <w:bCs/>
              </w:rPr>
            </w:pPr>
            <w:r w:rsidRPr="00E03F66">
              <w:rPr>
                <w:bCs/>
              </w:rPr>
              <w:t xml:space="preserve">Aims and objectives of the </w:t>
            </w:r>
            <w:proofErr w:type="gramStart"/>
            <w:r w:rsidRPr="00E03F66">
              <w:rPr>
                <w:bCs/>
              </w:rPr>
              <w:t>activity</w:t>
            </w:r>
            <w:proofErr w:type="gramEnd"/>
          </w:p>
          <w:p w14:paraId="52A34E6B" w14:textId="77777777" w:rsidR="00E03F66" w:rsidRPr="00E03F66" w:rsidRDefault="00E03F66" w:rsidP="00623DB3">
            <w:pPr>
              <w:rPr>
                <w:bCs/>
              </w:rPr>
            </w:pPr>
          </w:p>
        </w:tc>
        <w:tc>
          <w:tcPr>
            <w:tcW w:w="10348" w:type="dxa"/>
          </w:tcPr>
          <w:p w14:paraId="1EE8BCC3" w14:textId="02731DF5" w:rsidR="00F240DC" w:rsidRPr="00373980" w:rsidRDefault="00CD79F2" w:rsidP="00623DB3">
            <w:pPr>
              <w:rPr>
                <w:bCs/>
                <w:color w:val="auto"/>
              </w:rPr>
            </w:pPr>
            <w:r w:rsidRPr="00373980">
              <w:rPr>
                <w:bCs/>
                <w:color w:val="auto"/>
              </w:rPr>
              <w:t xml:space="preserve">This funding </w:t>
            </w:r>
            <w:r w:rsidR="00214C38" w:rsidRPr="00373980">
              <w:rPr>
                <w:bCs/>
                <w:color w:val="auto"/>
              </w:rPr>
              <w:t>opportunity</w:t>
            </w:r>
            <w:r w:rsidRPr="00373980">
              <w:rPr>
                <w:bCs/>
                <w:color w:val="auto"/>
              </w:rPr>
              <w:t xml:space="preserve"> is </w:t>
            </w:r>
            <w:r w:rsidR="00C42CDE" w:rsidRPr="00373980">
              <w:rPr>
                <w:bCs/>
                <w:color w:val="auto"/>
              </w:rPr>
              <w:t xml:space="preserve">designed to encourage members of </w:t>
            </w:r>
            <w:r w:rsidR="00A11114" w:rsidRPr="00373980">
              <w:rPr>
                <w:bCs/>
                <w:color w:val="auto"/>
              </w:rPr>
              <w:t xml:space="preserve">existing </w:t>
            </w:r>
            <w:r w:rsidR="00C42CDE" w:rsidRPr="00373980">
              <w:rPr>
                <w:bCs/>
                <w:color w:val="auto"/>
              </w:rPr>
              <w:t xml:space="preserve">BBSRC funded networks that identify as being part of an underrepresented group </w:t>
            </w:r>
            <w:r w:rsidR="00214C38" w:rsidRPr="00373980">
              <w:rPr>
                <w:bCs/>
                <w:color w:val="auto"/>
              </w:rPr>
              <w:t xml:space="preserve">to engage with their networks’ current activities. </w:t>
            </w:r>
          </w:p>
          <w:p w14:paraId="3F8E7E0E" w14:textId="3029BAFC" w:rsidR="006D7C50" w:rsidRPr="00373980" w:rsidRDefault="008335C9" w:rsidP="00623DB3">
            <w:pPr>
              <w:rPr>
                <w:color w:val="auto"/>
              </w:rPr>
            </w:pPr>
            <w:proofErr w:type="gramStart"/>
            <w:r w:rsidRPr="00373980">
              <w:rPr>
                <w:bCs/>
                <w:color w:val="auto"/>
              </w:rPr>
              <w:t>Following analyses of BBSRC award data, HESA data and Census data, it</w:t>
            </w:r>
            <w:proofErr w:type="gramEnd"/>
            <w:r w:rsidRPr="00373980">
              <w:rPr>
                <w:bCs/>
                <w:color w:val="auto"/>
              </w:rPr>
              <w:t xml:space="preserve"> </w:t>
            </w:r>
            <w:r w:rsidR="00A678B1" w:rsidRPr="00373980">
              <w:rPr>
                <w:bCs/>
                <w:color w:val="auto"/>
              </w:rPr>
              <w:t xml:space="preserve">is evident that there is a significant underrepresentation within the biosciences, particularly Black researchers, disabled researchers </w:t>
            </w:r>
            <w:r w:rsidR="00DB7872" w:rsidRPr="00373980">
              <w:rPr>
                <w:bCs/>
                <w:color w:val="auto"/>
              </w:rPr>
              <w:t xml:space="preserve">and women occupying more senior roles. Conversely there is an overrepresentation of </w:t>
            </w:r>
            <w:r w:rsidR="002F741B" w:rsidRPr="00373980">
              <w:rPr>
                <w:bCs/>
                <w:color w:val="auto"/>
              </w:rPr>
              <w:t xml:space="preserve">White researchers across all career levels. The skills and careers unit consulted their </w:t>
            </w:r>
            <w:r w:rsidR="006A7E5E" w:rsidRPr="00373980">
              <w:rPr>
                <w:bCs/>
                <w:color w:val="auto"/>
              </w:rPr>
              <w:t xml:space="preserve">dedicated </w:t>
            </w:r>
            <w:r w:rsidR="002B2480">
              <w:rPr>
                <w:bCs/>
                <w:color w:val="auto"/>
              </w:rPr>
              <w:t>Equality, Diversity and Inclusion (</w:t>
            </w:r>
            <w:r w:rsidR="00B12C29" w:rsidRPr="00373980">
              <w:rPr>
                <w:color w:val="auto"/>
              </w:rPr>
              <w:t>EDI</w:t>
            </w:r>
            <w:r w:rsidR="002B2480">
              <w:rPr>
                <w:color w:val="auto"/>
              </w:rPr>
              <w:t>)</w:t>
            </w:r>
            <w:r w:rsidR="00B12C29" w:rsidRPr="00373980">
              <w:rPr>
                <w:color w:val="auto"/>
              </w:rPr>
              <w:t xml:space="preserve"> Expert Advisory Group to determine how to best approach this issue. </w:t>
            </w:r>
          </w:p>
          <w:p w14:paraId="42C46E31" w14:textId="09535712" w:rsidR="00B12C29" w:rsidRPr="00373980" w:rsidRDefault="00B12C29" w:rsidP="00623DB3">
            <w:pPr>
              <w:rPr>
                <w:color w:val="auto"/>
              </w:rPr>
            </w:pPr>
            <w:r w:rsidRPr="00373980">
              <w:rPr>
                <w:bCs/>
                <w:color w:val="auto"/>
              </w:rPr>
              <w:t xml:space="preserve">One suggestion was to </w:t>
            </w:r>
            <w:r w:rsidR="003C6C57" w:rsidRPr="00373980">
              <w:rPr>
                <w:color w:val="auto"/>
              </w:rPr>
              <w:t xml:space="preserve">utilise existing investments in community networks to support broadening out their capacity-building activities into targeting under-representation and collaborating with learned societies in the biosciences and supporting their current activities in supporting diversity. </w:t>
            </w:r>
          </w:p>
          <w:p w14:paraId="79012451" w14:textId="76B88FF2" w:rsidR="003C6C57" w:rsidRPr="00373980" w:rsidRDefault="003C6C57" w:rsidP="00623DB3">
            <w:pPr>
              <w:rPr>
                <w:bCs/>
                <w:color w:val="auto"/>
              </w:rPr>
            </w:pPr>
            <w:r w:rsidRPr="00373980">
              <w:rPr>
                <w:bCs/>
                <w:color w:val="auto"/>
              </w:rPr>
              <w:t xml:space="preserve">We are inviting our existing networks to </w:t>
            </w:r>
            <w:r w:rsidR="00403CF4" w:rsidRPr="00373980">
              <w:rPr>
                <w:bCs/>
                <w:color w:val="auto"/>
              </w:rPr>
              <w:t xml:space="preserve">engage with a pilot funding scheme and </w:t>
            </w:r>
            <w:r w:rsidR="005A7DB5" w:rsidRPr="00373980">
              <w:rPr>
                <w:bCs/>
                <w:color w:val="auto"/>
              </w:rPr>
              <w:t xml:space="preserve">apply for small grants </w:t>
            </w:r>
            <w:r w:rsidR="00FC4A23" w:rsidRPr="00373980">
              <w:rPr>
                <w:bCs/>
                <w:color w:val="auto"/>
              </w:rPr>
              <w:t xml:space="preserve">between £50,000 and £100,000 </w:t>
            </w:r>
            <w:r w:rsidR="005A7DB5" w:rsidRPr="00373980">
              <w:rPr>
                <w:bCs/>
                <w:color w:val="auto"/>
              </w:rPr>
              <w:t xml:space="preserve">to </w:t>
            </w:r>
            <w:r w:rsidR="00893FE8" w:rsidRPr="00373980">
              <w:rPr>
                <w:bCs/>
                <w:color w:val="auto"/>
              </w:rPr>
              <w:t xml:space="preserve">encourage members of their existing community who identify as being a </w:t>
            </w:r>
            <w:r w:rsidR="00CD1805" w:rsidRPr="00373980">
              <w:rPr>
                <w:bCs/>
                <w:color w:val="auto"/>
              </w:rPr>
              <w:t>part</w:t>
            </w:r>
            <w:r w:rsidR="00893FE8" w:rsidRPr="00373980">
              <w:rPr>
                <w:bCs/>
                <w:color w:val="auto"/>
              </w:rPr>
              <w:t xml:space="preserve"> of an under-represented group, to engage </w:t>
            </w:r>
            <w:r w:rsidR="00C477CC" w:rsidRPr="00373980">
              <w:rPr>
                <w:bCs/>
                <w:color w:val="auto"/>
              </w:rPr>
              <w:t>with their networks</w:t>
            </w:r>
            <w:r w:rsidR="00CD1805" w:rsidRPr="00373980">
              <w:rPr>
                <w:bCs/>
                <w:color w:val="auto"/>
              </w:rPr>
              <w:t>’</w:t>
            </w:r>
            <w:r w:rsidR="00C477CC" w:rsidRPr="00373980">
              <w:rPr>
                <w:bCs/>
                <w:color w:val="auto"/>
              </w:rPr>
              <w:t xml:space="preserve"> activities. </w:t>
            </w:r>
          </w:p>
          <w:p w14:paraId="113BE690" w14:textId="77777777" w:rsidR="00F240DC" w:rsidRPr="00373980" w:rsidRDefault="00F240DC" w:rsidP="00623DB3">
            <w:pPr>
              <w:rPr>
                <w:bCs/>
                <w:color w:val="auto"/>
              </w:rPr>
            </w:pPr>
          </w:p>
          <w:p w14:paraId="7890E781" w14:textId="77777777" w:rsidR="003C076B" w:rsidRPr="00373980" w:rsidRDefault="00892849" w:rsidP="00892849">
            <w:pPr>
              <w:rPr>
                <w:color w:val="auto"/>
              </w:rPr>
            </w:pPr>
            <w:r w:rsidRPr="00373980">
              <w:rPr>
                <w:color w:val="auto"/>
              </w:rPr>
              <w:t xml:space="preserve">This funding could cover the costs of memberships, conference fees and travel, or for mentoring and awards (including summer research internships). Networks will specify how their awarded funds would be spent on EDI initiatives alongside justification based on data from both their existing network community and potential outreach. </w:t>
            </w:r>
            <w:r w:rsidR="009458D3" w:rsidRPr="00373980">
              <w:rPr>
                <w:color w:val="auto"/>
              </w:rPr>
              <w:t xml:space="preserve">The funds will be allocated and distributed by the network </w:t>
            </w:r>
            <w:r w:rsidR="008A05EA" w:rsidRPr="00373980">
              <w:rPr>
                <w:color w:val="auto"/>
              </w:rPr>
              <w:t>managers who have a comprehensive understanding of their respective communities and demographics.</w:t>
            </w:r>
          </w:p>
          <w:p w14:paraId="40B0F2DB" w14:textId="77777777" w:rsidR="003C076B" w:rsidRPr="00373980" w:rsidRDefault="003C076B" w:rsidP="00892849">
            <w:pPr>
              <w:rPr>
                <w:color w:val="auto"/>
              </w:rPr>
            </w:pPr>
          </w:p>
          <w:p w14:paraId="09675AF0" w14:textId="50303C29" w:rsidR="00892849" w:rsidRPr="00373980" w:rsidRDefault="00870525" w:rsidP="00892849">
            <w:pPr>
              <w:rPr>
                <w:color w:val="auto"/>
              </w:rPr>
            </w:pPr>
            <w:r>
              <w:rPr>
                <w:color w:val="auto"/>
              </w:rPr>
              <w:t xml:space="preserve">This EIA </w:t>
            </w:r>
            <w:r w:rsidR="00F22A0B">
              <w:rPr>
                <w:color w:val="auto"/>
              </w:rPr>
              <w:t xml:space="preserve">considers the application and assessment process for this funding opportunity. </w:t>
            </w:r>
          </w:p>
          <w:p w14:paraId="510A9D9D" w14:textId="77777777" w:rsidR="00E03F66" w:rsidRPr="00373980" w:rsidRDefault="00E03F66" w:rsidP="00623DB3">
            <w:pPr>
              <w:rPr>
                <w:bCs/>
                <w:color w:val="auto"/>
                <w:sz w:val="16"/>
                <w:szCs w:val="16"/>
              </w:rPr>
            </w:pPr>
          </w:p>
          <w:p w14:paraId="72FD911A" w14:textId="77777777" w:rsidR="00E03F66" w:rsidRPr="00F22A0B" w:rsidRDefault="00E03F66" w:rsidP="00F22A0B">
            <w:pPr>
              <w:rPr>
                <w:bCs/>
                <w:color w:val="auto"/>
              </w:rPr>
            </w:pPr>
          </w:p>
        </w:tc>
      </w:tr>
      <w:tr w:rsidR="00E03F66" w:rsidRPr="00E03F66" w14:paraId="0D97912A" w14:textId="77777777" w:rsidTr="00341B6C">
        <w:trPr>
          <w:trHeight w:val="758"/>
        </w:trPr>
        <w:tc>
          <w:tcPr>
            <w:tcW w:w="4673" w:type="dxa"/>
            <w:shd w:val="clear" w:color="auto" w:fill="D1DEFD" w:themeFill="accent3" w:themeFillTint="33"/>
          </w:tcPr>
          <w:p w14:paraId="1E4B1D67" w14:textId="77777777" w:rsidR="00E03F66" w:rsidRPr="00E03F66" w:rsidRDefault="00E03F66" w:rsidP="00623DB3">
            <w:pPr>
              <w:rPr>
                <w:bCs/>
              </w:rPr>
            </w:pPr>
            <w:r w:rsidRPr="00E03F66">
              <w:rPr>
                <w:bCs/>
              </w:rPr>
              <w:t>Who is affected by your policy/funding activity/event?</w:t>
            </w:r>
          </w:p>
          <w:p w14:paraId="42B3B26A" w14:textId="77777777" w:rsidR="00E03F66" w:rsidRPr="00E03F66" w:rsidDel="00A92DFE" w:rsidRDefault="00E03F66" w:rsidP="00623DB3">
            <w:pPr>
              <w:rPr>
                <w:bCs/>
              </w:rPr>
            </w:pPr>
          </w:p>
        </w:tc>
        <w:tc>
          <w:tcPr>
            <w:tcW w:w="10348" w:type="dxa"/>
          </w:tcPr>
          <w:p w14:paraId="00C7F33E" w14:textId="77777777" w:rsidR="00E03F66" w:rsidRDefault="009C4C69" w:rsidP="00140550">
            <w:pPr>
              <w:pStyle w:val="ListParagraph"/>
              <w:numPr>
                <w:ilvl w:val="0"/>
                <w:numId w:val="30"/>
              </w:numPr>
              <w:rPr>
                <w:bCs/>
                <w:color w:val="3B3838" w:themeColor="background2" w:themeShade="40"/>
              </w:rPr>
            </w:pPr>
            <w:r>
              <w:rPr>
                <w:bCs/>
                <w:color w:val="3B3838" w:themeColor="background2" w:themeShade="40"/>
              </w:rPr>
              <w:t xml:space="preserve">UKRI-BBSRC employees working on the </w:t>
            </w:r>
            <w:proofErr w:type="gramStart"/>
            <w:r>
              <w:rPr>
                <w:bCs/>
                <w:color w:val="3B3838" w:themeColor="background2" w:themeShade="40"/>
              </w:rPr>
              <w:t>opportunity</w:t>
            </w:r>
            <w:proofErr w:type="gramEnd"/>
          </w:p>
          <w:p w14:paraId="099C0AB7" w14:textId="77777777" w:rsidR="009C4C69" w:rsidRDefault="00402210" w:rsidP="00140550">
            <w:pPr>
              <w:pStyle w:val="ListParagraph"/>
              <w:numPr>
                <w:ilvl w:val="0"/>
                <w:numId w:val="30"/>
              </w:numPr>
              <w:rPr>
                <w:bCs/>
                <w:color w:val="3B3838" w:themeColor="background2" w:themeShade="40"/>
              </w:rPr>
            </w:pPr>
            <w:r>
              <w:rPr>
                <w:bCs/>
                <w:color w:val="3B3838" w:themeColor="background2" w:themeShade="40"/>
              </w:rPr>
              <w:t xml:space="preserve">The BBSRC funded networks applying to this </w:t>
            </w:r>
            <w:proofErr w:type="gramStart"/>
            <w:r>
              <w:rPr>
                <w:bCs/>
                <w:color w:val="3B3838" w:themeColor="background2" w:themeShade="40"/>
              </w:rPr>
              <w:t>call</w:t>
            </w:r>
            <w:proofErr w:type="gramEnd"/>
          </w:p>
          <w:p w14:paraId="78D58F2E" w14:textId="3CC9EA20" w:rsidR="008B122F" w:rsidRDefault="008B122F" w:rsidP="00140550">
            <w:pPr>
              <w:pStyle w:val="ListParagraph"/>
              <w:numPr>
                <w:ilvl w:val="0"/>
                <w:numId w:val="30"/>
              </w:numPr>
              <w:rPr>
                <w:bCs/>
                <w:color w:val="3B3838" w:themeColor="background2" w:themeShade="40"/>
              </w:rPr>
            </w:pPr>
            <w:r>
              <w:rPr>
                <w:bCs/>
                <w:color w:val="3B3838" w:themeColor="background2" w:themeShade="40"/>
              </w:rPr>
              <w:t xml:space="preserve">Any project partners or collaborators who engage with this funding </w:t>
            </w:r>
            <w:proofErr w:type="gramStart"/>
            <w:r>
              <w:rPr>
                <w:bCs/>
                <w:color w:val="3B3838" w:themeColor="background2" w:themeShade="40"/>
              </w:rPr>
              <w:t>opportunity</w:t>
            </w:r>
            <w:proofErr w:type="gramEnd"/>
            <w:r>
              <w:rPr>
                <w:bCs/>
                <w:color w:val="3B3838" w:themeColor="background2" w:themeShade="40"/>
              </w:rPr>
              <w:t xml:space="preserve"> </w:t>
            </w:r>
          </w:p>
          <w:p w14:paraId="2FA6C364" w14:textId="77777777" w:rsidR="00402210" w:rsidRDefault="00402210" w:rsidP="00140550">
            <w:pPr>
              <w:pStyle w:val="ListParagraph"/>
              <w:numPr>
                <w:ilvl w:val="0"/>
                <w:numId w:val="30"/>
              </w:numPr>
              <w:rPr>
                <w:bCs/>
                <w:color w:val="3B3838" w:themeColor="background2" w:themeShade="40"/>
              </w:rPr>
            </w:pPr>
            <w:r>
              <w:rPr>
                <w:bCs/>
                <w:color w:val="3B3838" w:themeColor="background2" w:themeShade="40"/>
              </w:rPr>
              <w:lastRenderedPageBreak/>
              <w:t xml:space="preserve">The members of the BBSRC funded networks’ communities who will be in receipt of this funding through the </w:t>
            </w:r>
            <w:proofErr w:type="gramStart"/>
            <w:r>
              <w:rPr>
                <w:bCs/>
                <w:color w:val="3B3838" w:themeColor="background2" w:themeShade="40"/>
              </w:rPr>
              <w:t>network</w:t>
            </w:r>
            <w:proofErr w:type="gramEnd"/>
            <w:r>
              <w:rPr>
                <w:bCs/>
                <w:color w:val="3B3838" w:themeColor="background2" w:themeShade="40"/>
              </w:rPr>
              <w:t xml:space="preserve"> </w:t>
            </w:r>
          </w:p>
          <w:p w14:paraId="09D1C69C" w14:textId="56253FDA" w:rsidR="00116D74" w:rsidRDefault="00116D74" w:rsidP="00140550">
            <w:pPr>
              <w:pStyle w:val="ListParagraph"/>
              <w:numPr>
                <w:ilvl w:val="0"/>
                <w:numId w:val="30"/>
              </w:numPr>
              <w:rPr>
                <w:bCs/>
                <w:color w:val="3B3838" w:themeColor="background2" w:themeShade="40"/>
              </w:rPr>
            </w:pPr>
            <w:r>
              <w:rPr>
                <w:bCs/>
                <w:color w:val="3B3838" w:themeColor="background2" w:themeShade="40"/>
              </w:rPr>
              <w:t xml:space="preserve">The assessment panel of experts </w:t>
            </w:r>
          </w:p>
          <w:p w14:paraId="02D0569E" w14:textId="2621E31F" w:rsidR="00CF3C48" w:rsidRPr="00140550" w:rsidRDefault="00CF3C48" w:rsidP="00140550">
            <w:pPr>
              <w:pStyle w:val="ListParagraph"/>
              <w:numPr>
                <w:ilvl w:val="0"/>
                <w:numId w:val="30"/>
              </w:numPr>
              <w:rPr>
                <w:bCs/>
                <w:color w:val="3B3838" w:themeColor="background2" w:themeShade="40"/>
              </w:rPr>
            </w:pPr>
            <w:r>
              <w:rPr>
                <w:bCs/>
                <w:color w:val="3B3838" w:themeColor="background2" w:themeShade="40"/>
              </w:rPr>
              <w:t>Additional stakeholders such as the EDI E</w:t>
            </w:r>
            <w:r w:rsidR="006F3C96">
              <w:rPr>
                <w:bCs/>
                <w:color w:val="3B3838" w:themeColor="background2" w:themeShade="40"/>
              </w:rPr>
              <w:t xml:space="preserve">xpert </w:t>
            </w:r>
            <w:r>
              <w:rPr>
                <w:bCs/>
                <w:color w:val="3B3838" w:themeColor="background2" w:themeShade="40"/>
              </w:rPr>
              <w:t>A</w:t>
            </w:r>
            <w:r w:rsidR="006F3C96">
              <w:rPr>
                <w:bCs/>
                <w:color w:val="3B3838" w:themeColor="background2" w:themeShade="40"/>
              </w:rPr>
              <w:t xml:space="preserve">dvisory </w:t>
            </w:r>
            <w:r>
              <w:rPr>
                <w:bCs/>
                <w:color w:val="3B3838" w:themeColor="background2" w:themeShade="40"/>
              </w:rPr>
              <w:t>G</w:t>
            </w:r>
            <w:r w:rsidR="006F3C96">
              <w:rPr>
                <w:bCs/>
                <w:color w:val="3B3838" w:themeColor="background2" w:themeShade="40"/>
              </w:rPr>
              <w:t xml:space="preserve">roup, BBSRCs </w:t>
            </w:r>
            <w:r>
              <w:rPr>
                <w:bCs/>
                <w:color w:val="3B3838" w:themeColor="background2" w:themeShade="40"/>
              </w:rPr>
              <w:t xml:space="preserve">Committee E </w:t>
            </w:r>
            <w:r w:rsidR="006F3C96">
              <w:rPr>
                <w:bCs/>
                <w:color w:val="3B3838" w:themeColor="background2" w:themeShade="40"/>
              </w:rPr>
              <w:t xml:space="preserve">and additional invited experts </w:t>
            </w:r>
            <w:r>
              <w:rPr>
                <w:bCs/>
                <w:color w:val="3B3838" w:themeColor="background2" w:themeShade="40"/>
              </w:rPr>
              <w:t xml:space="preserve">who will be invited to </w:t>
            </w:r>
            <w:r w:rsidR="00E216E0">
              <w:rPr>
                <w:bCs/>
                <w:color w:val="3B3838" w:themeColor="background2" w:themeShade="40"/>
              </w:rPr>
              <w:t xml:space="preserve">be members of the assessment panel </w:t>
            </w:r>
          </w:p>
        </w:tc>
      </w:tr>
      <w:tr w:rsidR="00E03F66" w:rsidRPr="00E03F66" w14:paraId="460E5B07" w14:textId="77777777" w:rsidTr="00341B6C">
        <w:trPr>
          <w:trHeight w:val="685"/>
        </w:trPr>
        <w:tc>
          <w:tcPr>
            <w:tcW w:w="4673" w:type="dxa"/>
            <w:shd w:val="clear" w:color="auto" w:fill="D1DEFD" w:themeFill="accent3" w:themeFillTint="33"/>
          </w:tcPr>
          <w:p w14:paraId="0AA8C0B8" w14:textId="77777777" w:rsidR="00E03F66" w:rsidRPr="00E03F66" w:rsidRDefault="00E03F66" w:rsidP="00623DB3">
            <w:pPr>
              <w:rPr>
                <w:bCs/>
              </w:rPr>
            </w:pPr>
            <w:r w:rsidRPr="00E03F66">
              <w:rPr>
                <w:bCs/>
              </w:rPr>
              <w:lastRenderedPageBreak/>
              <w:t xml:space="preserve">What data and consultation have you used to assess the equality impact of your activity? </w:t>
            </w:r>
          </w:p>
          <w:p w14:paraId="06F60FC4" w14:textId="77777777" w:rsidR="00E03F66" w:rsidRPr="00E03F66" w:rsidRDefault="00E03F66" w:rsidP="00623DB3">
            <w:pPr>
              <w:rPr>
                <w:bCs/>
              </w:rPr>
            </w:pPr>
          </w:p>
        </w:tc>
        <w:tc>
          <w:tcPr>
            <w:tcW w:w="10348" w:type="dxa"/>
          </w:tcPr>
          <w:p w14:paraId="370200E4" w14:textId="7445AD79" w:rsidR="00D419E6" w:rsidRDefault="00D419E6" w:rsidP="00623DB3">
            <w:pPr>
              <w:rPr>
                <w:color w:val="3B3838" w:themeColor="background2" w:themeShade="40"/>
              </w:rPr>
            </w:pPr>
            <w:r>
              <w:rPr>
                <w:color w:val="3B3838" w:themeColor="background2" w:themeShade="40"/>
              </w:rPr>
              <w:t>The</w:t>
            </w:r>
            <w:r w:rsidR="00C22784">
              <w:rPr>
                <w:color w:val="3B3838" w:themeColor="background2" w:themeShade="40"/>
              </w:rPr>
              <w:t xml:space="preserve"> call has been developed as a result of extensive analyses of the BBSRC Awardee Data, HESA and Census data</w:t>
            </w:r>
            <w:r w:rsidR="00827024">
              <w:rPr>
                <w:color w:val="3B3838" w:themeColor="background2" w:themeShade="40"/>
              </w:rPr>
              <w:t xml:space="preserve">. The </w:t>
            </w:r>
            <w:r w:rsidR="006F3C96">
              <w:rPr>
                <w:color w:val="3B3838" w:themeColor="background2" w:themeShade="40"/>
              </w:rPr>
              <w:t xml:space="preserve">BBSRC </w:t>
            </w:r>
            <w:r w:rsidR="00827024">
              <w:rPr>
                <w:color w:val="3B3838" w:themeColor="background2" w:themeShade="40"/>
              </w:rPr>
              <w:t xml:space="preserve">EDI Expert Advisory Group </w:t>
            </w:r>
            <w:r w:rsidR="00054A8B">
              <w:rPr>
                <w:color w:val="3B3838" w:themeColor="background2" w:themeShade="40"/>
              </w:rPr>
              <w:t>(EAG)</w:t>
            </w:r>
            <w:r w:rsidR="00827024">
              <w:rPr>
                <w:color w:val="3B3838" w:themeColor="background2" w:themeShade="40"/>
              </w:rPr>
              <w:t xml:space="preserve"> have </w:t>
            </w:r>
            <w:r w:rsidR="003B7DDC">
              <w:rPr>
                <w:color w:val="3B3838" w:themeColor="background2" w:themeShade="40"/>
              </w:rPr>
              <w:t>requested that</w:t>
            </w:r>
            <w:r w:rsidR="00827024">
              <w:rPr>
                <w:color w:val="3B3838" w:themeColor="background2" w:themeShade="40"/>
              </w:rPr>
              <w:t xml:space="preserve"> BBSRC </w:t>
            </w:r>
            <w:r w:rsidR="003B7DDC">
              <w:rPr>
                <w:color w:val="3B3838" w:themeColor="background2" w:themeShade="40"/>
              </w:rPr>
              <w:t xml:space="preserve">increase engagement with under-represented groups within the biosciences </w:t>
            </w:r>
            <w:r w:rsidR="007D4208">
              <w:rPr>
                <w:color w:val="3B3838" w:themeColor="background2" w:themeShade="40"/>
              </w:rPr>
              <w:t>and the development of this call has been supported by the BBSRC Director of Talent</w:t>
            </w:r>
            <w:r w:rsidR="00140550">
              <w:rPr>
                <w:color w:val="3B3838" w:themeColor="background2" w:themeShade="40"/>
              </w:rPr>
              <w:t xml:space="preserve">. </w:t>
            </w:r>
            <w:r w:rsidR="00F76593">
              <w:rPr>
                <w:color w:val="3B3838" w:themeColor="background2" w:themeShade="40"/>
              </w:rPr>
              <w:t xml:space="preserve">The EDI EAG </w:t>
            </w:r>
            <w:r w:rsidR="006F3C96">
              <w:rPr>
                <w:color w:val="3B3838" w:themeColor="background2" w:themeShade="40"/>
              </w:rPr>
              <w:t>were also</w:t>
            </w:r>
            <w:r w:rsidR="00F76593">
              <w:rPr>
                <w:color w:val="3B3838" w:themeColor="background2" w:themeShade="40"/>
              </w:rPr>
              <w:t xml:space="preserve"> consulted at </w:t>
            </w:r>
            <w:r w:rsidR="006F3C96">
              <w:rPr>
                <w:color w:val="3B3838" w:themeColor="background2" w:themeShade="40"/>
              </w:rPr>
              <w:t>the</w:t>
            </w:r>
            <w:r w:rsidR="005D5F07">
              <w:rPr>
                <w:color w:val="3B3838" w:themeColor="background2" w:themeShade="40"/>
              </w:rPr>
              <w:t xml:space="preserve"> most recent</w:t>
            </w:r>
            <w:r w:rsidR="006F3C96">
              <w:rPr>
                <w:color w:val="3B3838" w:themeColor="background2" w:themeShade="40"/>
              </w:rPr>
              <w:t xml:space="preserve"> </w:t>
            </w:r>
            <w:r w:rsidR="00074F97">
              <w:rPr>
                <w:color w:val="3B3838" w:themeColor="background2" w:themeShade="40"/>
              </w:rPr>
              <w:t xml:space="preserve">EDI EAG meeting which took place </w:t>
            </w:r>
            <w:r w:rsidR="00F76593">
              <w:rPr>
                <w:color w:val="3B3838" w:themeColor="background2" w:themeShade="40"/>
              </w:rPr>
              <w:t>on the 13</w:t>
            </w:r>
            <w:r w:rsidR="00F76593" w:rsidRPr="00F76593">
              <w:rPr>
                <w:color w:val="3B3838" w:themeColor="background2" w:themeShade="40"/>
                <w:vertAlign w:val="superscript"/>
              </w:rPr>
              <w:t>th</w:t>
            </w:r>
            <w:r w:rsidR="00F76593">
              <w:rPr>
                <w:color w:val="3B3838" w:themeColor="background2" w:themeShade="40"/>
              </w:rPr>
              <w:t xml:space="preserve"> November </w:t>
            </w:r>
            <w:r w:rsidR="005D5F07">
              <w:rPr>
                <w:color w:val="3B3838" w:themeColor="background2" w:themeShade="40"/>
              </w:rPr>
              <w:t xml:space="preserve">2023 </w:t>
            </w:r>
            <w:r w:rsidR="00F76593">
              <w:rPr>
                <w:color w:val="3B3838" w:themeColor="background2" w:themeShade="40"/>
              </w:rPr>
              <w:t>and they w</w:t>
            </w:r>
            <w:r w:rsidR="006F3C96">
              <w:rPr>
                <w:color w:val="3B3838" w:themeColor="background2" w:themeShade="40"/>
              </w:rPr>
              <w:t>ere</w:t>
            </w:r>
            <w:r w:rsidR="00F76593">
              <w:rPr>
                <w:color w:val="3B3838" w:themeColor="background2" w:themeShade="40"/>
              </w:rPr>
              <w:t xml:space="preserve"> invited to provide feedback on the call development and </w:t>
            </w:r>
            <w:r w:rsidR="00275025">
              <w:rPr>
                <w:color w:val="3B3838" w:themeColor="background2" w:themeShade="40"/>
              </w:rPr>
              <w:t>progression</w:t>
            </w:r>
            <w:r w:rsidR="00F11AFF">
              <w:rPr>
                <w:color w:val="3B3838" w:themeColor="background2" w:themeShade="40"/>
              </w:rPr>
              <w:t>. The EDI EAG provided positive feedback and were supportive of the call design and scope.</w:t>
            </w:r>
          </w:p>
          <w:p w14:paraId="67377A64" w14:textId="5DE94494" w:rsidR="00140550" w:rsidRDefault="00140550" w:rsidP="00623DB3">
            <w:pPr>
              <w:rPr>
                <w:color w:val="3B3838" w:themeColor="background2" w:themeShade="40"/>
              </w:rPr>
            </w:pPr>
            <w:r>
              <w:rPr>
                <w:color w:val="3B3838" w:themeColor="background2" w:themeShade="40"/>
              </w:rPr>
              <w:t xml:space="preserve">Various sources of evidence alongside UKRI, HESA and Census data have been consulted to assess the impacts on specific personal characteristics and suggestions on how to mitigate these impacts. </w:t>
            </w:r>
          </w:p>
          <w:p w14:paraId="1ECF84A5" w14:textId="77777777" w:rsidR="008069B4" w:rsidRDefault="008069B4" w:rsidP="00623DB3">
            <w:pPr>
              <w:rPr>
                <w:color w:val="3B3838" w:themeColor="background2" w:themeShade="40"/>
              </w:rPr>
            </w:pPr>
          </w:p>
          <w:p w14:paraId="55077D26" w14:textId="77777777" w:rsidR="008069B4" w:rsidRDefault="008069B4" w:rsidP="008069B4">
            <w:pPr>
              <w:rPr>
                <w:rFonts w:eastAsia="Arial" w:cs="Arial"/>
                <w:color w:val="3B3838"/>
              </w:rPr>
            </w:pPr>
            <w:r>
              <w:rPr>
                <w:rFonts w:eastAsia="Arial" w:cs="Arial"/>
                <w:color w:val="3B3838"/>
              </w:rPr>
              <w:t>Examples of additional sources of information:</w:t>
            </w:r>
          </w:p>
          <w:p w14:paraId="1B590BE0" w14:textId="77777777" w:rsidR="008069B4" w:rsidRPr="00DF0888" w:rsidRDefault="008069B4" w:rsidP="008069B4">
            <w:pPr>
              <w:pStyle w:val="ListParagraph"/>
              <w:numPr>
                <w:ilvl w:val="0"/>
                <w:numId w:val="31"/>
              </w:numPr>
              <w:spacing w:after="160" w:line="259" w:lineRule="auto"/>
              <w:rPr>
                <w:rStyle w:val="Hyperlink"/>
                <w:rFonts w:cs="Arial"/>
              </w:rPr>
            </w:pPr>
            <w:r w:rsidRPr="00DF0888">
              <w:rPr>
                <w:rFonts w:eastAsia="Arial" w:cs="Arial"/>
                <w:color w:val="3B3838"/>
              </w:rPr>
              <w:t xml:space="preserve">Gendered Intelligence- </w:t>
            </w:r>
            <w:hyperlink r:id="rId15" w:history="1">
              <w:r w:rsidRPr="00DF0888">
                <w:rPr>
                  <w:rStyle w:val="Hyperlink"/>
                  <w:rFonts w:cs="Arial"/>
                </w:rPr>
                <w:t>Resources for Professionals | Gendered Intelligence</w:t>
              </w:r>
            </w:hyperlink>
          </w:p>
          <w:p w14:paraId="42294786" w14:textId="77777777" w:rsidR="008069B4" w:rsidRPr="00DF0888" w:rsidRDefault="008069B4" w:rsidP="008069B4">
            <w:pPr>
              <w:pStyle w:val="ListParagraph"/>
              <w:numPr>
                <w:ilvl w:val="0"/>
                <w:numId w:val="31"/>
              </w:numPr>
              <w:spacing w:after="160" w:line="259" w:lineRule="auto"/>
              <w:rPr>
                <w:rFonts w:cs="Arial"/>
              </w:rPr>
            </w:pPr>
            <w:r w:rsidRPr="00DF0888">
              <w:rPr>
                <w:rFonts w:cs="Arial"/>
              </w:rPr>
              <w:t xml:space="preserve">Transgender Equality Network Ireland- </w:t>
            </w:r>
            <w:hyperlink r:id="rId16" w:history="1">
              <w:r w:rsidRPr="00DF0888">
                <w:rPr>
                  <w:rStyle w:val="Hyperlink"/>
                  <w:rFonts w:cs="Arial"/>
                </w:rPr>
                <w:t>Supporting-Transgender-Inclusion-in-the-Workplace-Guidelines-for-Employers.pdf (teni.ie)</w:t>
              </w:r>
            </w:hyperlink>
          </w:p>
          <w:p w14:paraId="44A9AD88" w14:textId="77777777" w:rsidR="008069B4" w:rsidRPr="00DF0888" w:rsidRDefault="006C43E0" w:rsidP="008069B4">
            <w:pPr>
              <w:pStyle w:val="ListParagraph"/>
              <w:numPr>
                <w:ilvl w:val="0"/>
                <w:numId w:val="31"/>
              </w:numPr>
              <w:spacing w:after="160" w:line="259" w:lineRule="auto"/>
              <w:rPr>
                <w:rStyle w:val="Hyperlink"/>
                <w:rFonts w:cs="Arial"/>
              </w:rPr>
            </w:pPr>
            <w:hyperlink r:id="rId17" w:history="1">
              <w:r w:rsidR="008069B4" w:rsidRPr="00DF0888">
                <w:rPr>
                  <w:rStyle w:val="Hyperlink"/>
                  <w:rFonts w:cs="Arial"/>
                </w:rPr>
                <w:t>Neuro-inclusive recruitment - Genius Within</w:t>
              </w:r>
            </w:hyperlink>
          </w:p>
          <w:p w14:paraId="3C7309AE" w14:textId="77777777" w:rsidR="008069B4" w:rsidRPr="00DF0888" w:rsidRDefault="006C43E0" w:rsidP="008069B4">
            <w:pPr>
              <w:pStyle w:val="ListParagraph"/>
              <w:numPr>
                <w:ilvl w:val="0"/>
                <w:numId w:val="31"/>
              </w:numPr>
              <w:spacing w:after="160" w:line="259" w:lineRule="auto"/>
              <w:rPr>
                <w:rFonts w:cs="Arial"/>
              </w:rPr>
            </w:pPr>
            <w:hyperlink r:id="rId18" w:history="1">
              <w:r w:rsidR="008069B4" w:rsidRPr="00DF0888">
                <w:rPr>
                  <w:rStyle w:val="Hyperlink"/>
                  <w:rFonts w:cs="Arial"/>
                </w:rPr>
                <w:t>How to Avoid Ageism (shrm.org)</w:t>
              </w:r>
            </w:hyperlink>
          </w:p>
          <w:p w14:paraId="244738CC" w14:textId="77777777" w:rsidR="008069B4" w:rsidRPr="00DF0888" w:rsidRDefault="006C43E0" w:rsidP="008069B4">
            <w:pPr>
              <w:pStyle w:val="ListParagraph"/>
              <w:numPr>
                <w:ilvl w:val="0"/>
                <w:numId w:val="31"/>
              </w:numPr>
              <w:spacing w:after="160" w:line="259" w:lineRule="auto"/>
              <w:rPr>
                <w:rFonts w:cs="Arial"/>
              </w:rPr>
            </w:pPr>
            <w:hyperlink r:id="rId19" w:history="1">
              <w:r w:rsidR="008069B4" w:rsidRPr="00DF0888">
                <w:rPr>
                  <w:rStyle w:val="Hyperlink"/>
                  <w:rFonts w:cs="Arial"/>
                </w:rPr>
                <w:t>The research and technical workforce in the UK (royalsociety.org)</w:t>
              </w:r>
            </w:hyperlink>
          </w:p>
          <w:p w14:paraId="5B5AA2C1" w14:textId="77777777" w:rsidR="008069B4" w:rsidRPr="00DF0888" w:rsidRDefault="006C43E0" w:rsidP="008069B4">
            <w:pPr>
              <w:pStyle w:val="ListParagraph"/>
              <w:numPr>
                <w:ilvl w:val="0"/>
                <w:numId w:val="31"/>
              </w:numPr>
              <w:spacing w:after="160" w:line="259" w:lineRule="auto"/>
              <w:rPr>
                <w:rFonts w:cs="Arial"/>
              </w:rPr>
            </w:pPr>
            <w:hyperlink r:id="rId20" w:history="1">
              <w:r w:rsidR="008069B4" w:rsidRPr="00DF0888">
                <w:rPr>
                  <w:rStyle w:val="Hyperlink"/>
                  <w:rFonts w:cs="Arial"/>
                </w:rPr>
                <w:t>What is Stimming and Why Do Neurodivergent People Do It? - Spectrum Connections Therapy (spectrumconnecttherapy.com)</w:t>
              </w:r>
            </w:hyperlink>
          </w:p>
          <w:p w14:paraId="3F22AC3E" w14:textId="77777777" w:rsidR="008069B4" w:rsidRPr="00DF0888" w:rsidRDefault="006C43E0" w:rsidP="008069B4">
            <w:pPr>
              <w:pStyle w:val="ListParagraph"/>
              <w:numPr>
                <w:ilvl w:val="0"/>
                <w:numId w:val="31"/>
              </w:numPr>
              <w:spacing w:after="160" w:line="259" w:lineRule="auto"/>
              <w:rPr>
                <w:rFonts w:cs="Arial"/>
              </w:rPr>
            </w:pPr>
            <w:hyperlink r:id="rId21" w:history="1">
              <w:r w:rsidR="008069B4" w:rsidRPr="00DF0888">
                <w:rPr>
                  <w:rStyle w:val="Hyperlink"/>
                  <w:rFonts w:cs="Arial"/>
                </w:rPr>
                <w:t>Race discrimination | Equality and Human Rights Commission (equalityhumanrights.com)</w:t>
              </w:r>
            </w:hyperlink>
          </w:p>
          <w:p w14:paraId="38431D86" w14:textId="77777777" w:rsidR="008069B4" w:rsidRPr="00DF0888" w:rsidRDefault="006C43E0" w:rsidP="008069B4">
            <w:pPr>
              <w:pStyle w:val="ListParagraph"/>
              <w:numPr>
                <w:ilvl w:val="0"/>
                <w:numId w:val="31"/>
              </w:numPr>
              <w:spacing w:after="160" w:line="259" w:lineRule="auto"/>
              <w:rPr>
                <w:rFonts w:cs="Arial"/>
              </w:rPr>
            </w:pPr>
            <w:hyperlink r:id="rId22" w:history="1">
              <w:r w:rsidR="008069B4" w:rsidRPr="00DF0888">
                <w:rPr>
                  <w:rStyle w:val="Hyperlink"/>
                  <w:rFonts w:cs="Arial"/>
                </w:rPr>
                <w:t>UKRI diversity data for funding applicants and awardees</w:t>
              </w:r>
            </w:hyperlink>
          </w:p>
          <w:p w14:paraId="133A7E5C" w14:textId="43DB6DA5" w:rsidR="00A10000" w:rsidRPr="005D5F07" w:rsidRDefault="00A10000" w:rsidP="005D5F07">
            <w:pPr>
              <w:rPr>
                <w:color w:val="3B3838" w:themeColor="background2" w:themeShade="40"/>
              </w:rPr>
            </w:pPr>
          </w:p>
        </w:tc>
      </w:tr>
    </w:tbl>
    <w:p w14:paraId="2299E31D" w14:textId="28AAF60D" w:rsidR="00BE1795" w:rsidRDefault="00BE1795" w:rsidP="008E3656">
      <w:pPr>
        <w:rPr>
          <w:bCs/>
          <w:color w:val="auto"/>
        </w:rPr>
      </w:pPr>
    </w:p>
    <w:p w14:paraId="37F378C1" w14:textId="08130A9F" w:rsidR="00E03F66" w:rsidRPr="00E03F66" w:rsidRDefault="00E03F66" w:rsidP="00E03F66">
      <w:pPr>
        <w:pStyle w:val="Heading2"/>
      </w:pPr>
      <w:bookmarkStart w:id="5" w:name="_Toc126841207"/>
      <w:r w:rsidRPr="00E03F66">
        <w:t xml:space="preserve">Analysing your </w:t>
      </w:r>
      <w:r w:rsidR="00F105AB">
        <w:t>i</w:t>
      </w:r>
      <w:r w:rsidRPr="00E03F66">
        <w:t>mpact</w:t>
      </w:r>
      <w:bookmarkEnd w:id="5"/>
    </w:p>
    <w:p w14:paraId="2D85DE22" w14:textId="3D97C4BB" w:rsidR="00E03F66" w:rsidRDefault="00E03F66" w:rsidP="00623DB3">
      <w:r w:rsidRPr="00E03F66">
        <w:t xml:space="preserve">In addition to data gathering and consultation, </w:t>
      </w:r>
      <w:r w:rsidRPr="00A67F1D">
        <w:t>the guidance on protected characteristics should be used to assist in identifying impacts on different groups.</w:t>
      </w:r>
      <w:r w:rsidRPr="00E03F66">
        <w:t xml:space="preserve"> Where impact has not been identified in the checklists, general EDI considerations, or where there is impact pertinent to your opportunity or activity, it should be recorded here. </w:t>
      </w:r>
    </w:p>
    <w:p w14:paraId="7310AB48" w14:textId="77777777" w:rsidR="00A40B47" w:rsidRPr="00E03F66" w:rsidRDefault="00A40B47" w:rsidP="00E03F66">
      <w:pPr>
        <w:rPr>
          <w:color w:val="auto"/>
        </w:rPr>
      </w:pPr>
    </w:p>
    <w:tbl>
      <w:tblPr>
        <w:tblStyle w:val="TableGrid1"/>
        <w:tblW w:w="14737" w:type="dxa"/>
        <w:tblLook w:val="04A0" w:firstRow="1" w:lastRow="0" w:firstColumn="1" w:lastColumn="0" w:noHBand="0" w:noVBand="1"/>
      </w:tblPr>
      <w:tblGrid>
        <w:gridCol w:w="5277"/>
        <w:gridCol w:w="9460"/>
      </w:tblGrid>
      <w:tr w:rsidR="00A40B47" w:rsidRPr="00A40B47" w14:paraId="15CC0CF7" w14:textId="77777777" w:rsidTr="195CF1EB">
        <w:trPr>
          <w:trHeight w:val="3378"/>
        </w:trPr>
        <w:tc>
          <w:tcPr>
            <w:tcW w:w="5277" w:type="dxa"/>
            <w:shd w:val="clear" w:color="auto" w:fill="D1DEFD" w:themeFill="accent3" w:themeFillTint="33"/>
          </w:tcPr>
          <w:p w14:paraId="518F6DE3" w14:textId="77777777" w:rsidR="00A40B47" w:rsidRPr="00A40B47" w:rsidRDefault="00A40B47" w:rsidP="00623DB3">
            <w:r w:rsidRPr="00A40B47">
              <w:t xml:space="preserve">Are there </w:t>
            </w:r>
            <w:r w:rsidRPr="00A63357">
              <w:rPr>
                <w:b/>
                <w:bCs/>
              </w:rPr>
              <w:t>general or overarching impact on multiple groups</w:t>
            </w:r>
            <w:r w:rsidRPr="00A40B47">
              <w:t>? What actions will you take to increase positive impact, or reduce/mitigate negative impact?</w:t>
            </w:r>
          </w:p>
          <w:p w14:paraId="0677829F" w14:textId="77777777" w:rsidR="00A40B47" w:rsidRPr="00A40B47" w:rsidRDefault="00A40B47" w:rsidP="00623DB3"/>
          <w:p w14:paraId="31DAC97B" w14:textId="77777777" w:rsidR="00A40B47" w:rsidRPr="00A40B47" w:rsidRDefault="00A40B47" w:rsidP="00623DB3">
            <w:pPr>
              <w:rPr>
                <w:b/>
              </w:rPr>
            </w:pPr>
          </w:p>
          <w:p w14:paraId="3170449B" w14:textId="77777777" w:rsidR="00A40B47" w:rsidRPr="00A40B47" w:rsidRDefault="00A40B47" w:rsidP="00623DB3">
            <w:pPr>
              <w:rPr>
                <w:b/>
              </w:rPr>
            </w:pPr>
          </w:p>
          <w:p w14:paraId="3B04CEBE" w14:textId="77777777" w:rsidR="00A40B47" w:rsidRPr="00A40B47" w:rsidRDefault="00A40B47" w:rsidP="00623DB3">
            <w:pPr>
              <w:rPr>
                <w:b/>
              </w:rPr>
            </w:pPr>
          </w:p>
        </w:tc>
        <w:tc>
          <w:tcPr>
            <w:tcW w:w="9460" w:type="dxa"/>
          </w:tcPr>
          <w:p w14:paraId="43B92308" w14:textId="6ACCC63C" w:rsidR="00601C6A" w:rsidRPr="002F0AE5" w:rsidRDefault="00601C6A" w:rsidP="00623DB3">
            <w:pPr>
              <w:rPr>
                <w:color w:val="auto"/>
              </w:rPr>
            </w:pPr>
            <w:r w:rsidRPr="002F0AE5">
              <w:rPr>
                <w:color w:val="auto"/>
              </w:rPr>
              <w:t>Th</w:t>
            </w:r>
            <w:r w:rsidR="00183DC6" w:rsidRPr="002F0AE5">
              <w:rPr>
                <w:color w:val="auto"/>
              </w:rPr>
              <w:t xml:space="preserve">e funds awarded as part of this opportunity will be disseminated by the </w:t>
            </w:r>
            <w:r w:rsidR="00F53458" w:rsidRPr="002F0AE5">
              <w:rPr>
                <w:color w:val="auto"/>
              </w:rPr>
              <w:t>successful</w:t>
            </w:r>
            <w:r w:rsidR="002F0AE5">
              <w:rPr>
                <w:color w:val="auto"/>
              </w:rPr>
              <w:t xml:space="preserve"> </w:t>
            </w:r>
            <w:r w:rsidR="00F53458" w:rsidRPr="002F0AE5">
              <w:rPr>
                <w:color w:val="auto"/>
              </w:rPr>
              <w:t xml:space="preserve">networks. </w:t>
            </w:r>
          </w:p>
          <w:p w14:paraId="7C39B3D3" w14:textId="7E8E3732" w:rsidR="00601C6A" w:rsidRDefault="00F53458" w:rsidP="00623DB3">
            <w:pPr>
              <w:rPr>
                <w:color w:val="auto"/>
              </w:rPr>
            </w:pPr>
            <w:r w:rsidRPr="002F0AE5">
              <w:rPr>
                <w:color w:val="auto"/>
              </w:rPr>
              <w:t>We have ensured that the applicants, in this case, BBSRCs funded networks</w:t>
            </w:r>
            <w:r w:rsidR="002F0AE5">
              <w:rPr>
                <w:color w:val="auto"/>
              </w:rPr>
              <w:t>,</w:t>
            </w:r>
            <w:r w:rsidRPr="002F0AE5">
              <w:rPr>
                <w:color w:val="auto"/>
              </w:rPr>
              <w:t xml:space="preserve"> are </w:t>
            </w:r>
            <w:r w:rsidR="000C09ED" w:rsidRPr="002F0AE5">
              <w:rPr>
                <w:color w:val="auto"/>
              </w:rPr>
              <w:t>encouraged to explore their own individual challenges within the EDI space and in ord</w:t>
            </w:r>
            <w:r w:rsidR="008F1AE8">
              <w:rPr>
                <w:color w:val="auto"/>
              </w:rPr>
              <w:t xml:space="preserve">er to do this, BBSRC has encouraged our networks to </w:t>
            </w:r>
            <w:r w:rsidR="0024720D">
              <w:rPr>
                <w:color w:val="auto"/>
              </w:rPr>
              <w:t xml:space="preserve">explore their EDI data and determine </w:t>
            </w:r>
            <w:r w:rsidR="00A8280F">
              <w:rPr>
                <w:color w:val="auto"/>
              </w:rPr>
              <w:t xml:space="preserve">challenge </w:t>
            </w:r>
            <w:r w:rsidR="00F72492">
              <w:rPr>
                <w:color w:val="auto"/>
              </w:rPr>
              <w:t xml:space="preserve">or priority </w:t>
            </w:r>
            <w:r w:rsidR="00A8280F">
              <w:rPr>
                <w:color w:val="auto"/>
              </w:rPr>
              <w:t xml:space="preserve">areas. The focus of the call is to encourage </w:t>
            </w:r>
            <w:r w:rsidR="00AF29B6">
              <w:rPr>
                <w:color w:val="auto"/>
              </w:rPr>
              <w:t xml:space="preserve">our networks to explore solutions to these challenges, which will be based on communication and consultation with their existing members </w:t>
            </w:r>
            <w:r w:rsidR="00F72492">
              <w:rPr>
                <w:color w:val="auto"/>
              </w:rPr>
              <w:t xml:space="preserve">with lived experience. BBSRC recognises the </w:t>
            </w:r>
            <w:r w:rsidR="00B42354">
              <w:rPr>
                <w:color w:val="auto"/>
              </w:rPr>
              <w:t xml:space="preserve">impacts that the application and consultation process may have on members of the networks, especially those who </w:t>
            </w:r>
            <w:r w:rsidR="00667A11">
              <w:rPr>
                <w:color w:val="auto"/>
              </w:rPr>
              <w:t>identify as being part of a minoritised or under-represented group</w:t>
            </w:r>
            <w:r w:rsidR="00B27F84">
              <w:rPr>
                <w:color w:val="auto"/>
              </w:rPr>
              <w:t>. We have extended the application period to 1</w:t>
            </w:r>
            <w:r w:rsidR="0075069E">
              <w:rPr>
                <w:color w:val="auto"/>
              </w:rPr>
              <w:t>0</w:t>
            </w:r>
            <w:r w:rsidR="00B27F84">
              <w:rPr>
                <w:color w:val="auto"/>
              </w:rPr>
              <w:t xml:space="preserve"> weeks and included an option</w:t>
            </w:r>
            <w:r w:rsidR="002A6C38">
              <w:rPr>
                <w:color w:val="auto"/>
              </w:rPr>
              <w:t>al</w:t>
            </w:r>
            <w:r w:rsidR="00B27F84">
              <w:rPr>
                <w:color w:val="auto"/>
              </w:rPr>
              <w:t xml:space="preserve"> expression of interest stage to </w:t>
            </w:r>
            <w:r w:rsidR="00A35341">
              <w:rPr>
                <w:color w:val="auto"/>
              </w:rPr>
              <w:t xml:space="preserve">assist in the development of collaborations where possible. </w:t>
            </w:r>
          </w:p>
          <w:p w14:paraId="7F82F4B1" w14:textId="437AA468" w:rsidR="00840F8E" w:rsidRPr="000321B0" w:rsidRDefault="00A35341" w:rsidP="00840F8E">
            <w:pPr>
              <w:rPr>
                <w:color w:val="auto"/>
              </w:rPr>
            </w:pPr>
            <w:r>
              <w:rPr>
                <w:color w:val="auto"/>
              </w:rPr>
              <w:t xml:space="preserve">BBSRC staff will </w:t>
            </w:r>
            <w:r w:rsidR="002A6C38">
              <w:rPr>
                <w:color w:val="auto"/>
              </w:rPr>
              <w:t xml:space="preserve">respond to individual </w:t>
            </w:r>
            <w:r w:rsidR="00FC705A">
              <w:rPr>
                <w:color w:val="auto"/>
              </w:rPr>
              <w:t xml:space="preserve">requests for reasonable adjustments to the application or assessment process. BBSRC will also record the launch webinar to ensure prospective applicants who were unable to attend </w:t>
            </w:r>
            <w:r w:rsidR="0023576E">
              <w:rPr>
                <w:color w:val="auto"/>
              </w:rPr>
              <w:t xml:space="preserve">have </w:t>
            </w:r>
            <w:r w:rsidR="00DD6CA3">
              <w:rPr>
                <w:color w:val="auto"/>
              </w:rPr>
              <w:t xml:space="preserve">the opportunity </w:t>
            </w:r>
            <w:r w:rsidR="0023576E">
              <w:rPr>
                <w:color w:val="auto"/>
              </w:rPr>
              <w:t>to view the presentation and see the Q&amp;A session. The</w:t>
            </w:r>
            <w:r w:rsidR="000321B0">
              <w:rPr>
                <w:color w:val="auto"/>
              </w:rPr>
              <w:t xml:space="preserve"> application and assessment process will be entirely virtual.</w:t>
            </w:r>
          </w:p>
          <w:p w14:paraId="55FAE911" w14:textId="74F89542" w:rsidR="00840F8E" w:rsidRPr="00840F8E" w:rsidRDefault="00840F8E" w:rsidP="00840F8E">
            <w:pPr>
              <w:rPr>
                <w:i/>
                <w:iCs/>
              </w:rPr>
            </w:pPr>
          </w:p>
        </w:tc>
      </w:tr>
    </w:tbl>
    <w:p w14:paraId="41AE252B" w14:textId="26FFD22D" w:rsidR="00E03F66" w:rsidRDefault="00E03F66" w:rsidP="008E3656">
      <w:pPr>
        <w:rPr>
          <w:bCs/>
          <w:color w:val="auto"/>
        </w:rPr>
      </w:pPr>
    </w:p>
    <w:p w14:paraId="7EDC7013" w14:textId="4E38A295" w:rsidR="007A2B49" w:rsidRDefault="00E904DF" w:rsidP="008E3656">
      <w:pPr>
        <w:rPr>
          <w:bCs/>
          <w:color w:val="auto"/>
        </w:rPr>
      </w:pPr>
      <w:r>
        <w:rPr>
          <w:bCs/>
          <w:color w:val="auto"/>
        </w:rPr>
        <w:t>C</w:t>
      </w:r>
      <w:r w:rsidR="007A2B49">
        <w:rPr>
          <w:bCs/>
          <w:color w:val="auto"/>
        </w:rPr>
        <w:t>ont</w:t>
      </w:r>
      <w:r>
        <w:rPr>
          <w:bCs/>
          <w:color w:val="auto"/>
        </w:rPr>
        <w:t>inued below…</w:t>
      </w:r>
    </w:p>
    <w:p w14:paraId="33BE4347" w14:textId="79D7DCD0" w:rsidR="00493D72" w:rsidRDefault="00493D72">
      <w:pPr>
        <w:rPr>
          <w:bCs/>
          <w:color w:val="auto"/>
        </w:rPr>
      </w:pPr>
      <w:r>
        <w:rPr>
          <w:bCs/>
          <w:color w:val="auto"/>
        </w:rPr>
        <w:br w:type="page"/>
      </w:r>
    </w:p>
    <w:p w14:paraId="5DDFAEDE" w14:textId="77777777" w:rsidR="0013632F" w:rsidRDefault="0013632F">
      <w:pPr>
        <w:rPr>
          <w:bCs/>
          <w:color w:val="auto"/>
        </w:rPr>
      </w:pPr>
    </w:p>
    <w:p w14:paraId="56F98A51" w14:textId="77777777" w:rsidR="0013632F" w:rsidRDefault="0013632F">
      <w:pPr>
        <w:rPr>
          <w:bCs/>
          <w:color w:val="auto"/>
        </w:rPr>
      </w:pPr>
    </w:p>
    <w:p w14:paraId="16A12208" w14:textId="2DF01A44" w:rsidR="0013632F" w:rsidRDefault="00F105AB" w:rsidP="00F105AB">
      <w:pPr>
        <w:pStyle w:val="Heading2"/>
      </w:pPr>
      <w:bookmarkStart w:id="6" w:name="_Toc126841208"/>
      <w:r>
        <w:t xml:space="preserve">Protected </w:t>
      </w:r>
      <w:proofErr w:type="gramStart"/>
      <w:r>
        <w:t>characteristics</w:t>
      </w:r>
      <w:bookmarkEnd w:id="6"/>
      <w:proofErr w:type="gramEnd"/>
    </w:p>
    <w:p w14:paraId="01F07CF8" w14:textId="77777777" w:rsidR="0013632F" w:rsidRDefault="0013632F">
      <w:pPr>
        <w:rPr>
          <w:bCs/>
          <w:color w:val="auto"/>
        </w:rPr>
      </w:pPr>
    </w:p>
    <w:tbl>
      <w:tblPr>
        <w:tblStyle w:val="TableGrid"/>
        <w:tblW w:w="14632" w:type="dxa"/>
        <w:tblLayout w:type="fixed"/>
        <w:tblLook w:val="04A0" w:firstRow="1" w:lastRow="0" w:firstColumn="1" w:lastColumn="0" w:noHBand="0" w:noVBand="1"/>
      </w:tblPr>
      <w:tblGrid>
        <w:gridCol w:w="2508"/>
        <w:gridCol w:w="1535"/>
        <w:gridCol w:w="1197"/>
        <w:gridCol w:w="4805"/>
        <w:gridCol w:w="4587"/>
      </w:tblGrid>
      <w:tr w:rsidR="0013632F" w:rsidRPr="0013632F" w14:paraId="072A581A" w14:textId="77777777" w:rsidTr="00B32541">
        <w:trPr>
          <w:trHeight w:val="1073"/>
        </w:trPr>
        <w:tc>
          <w:tcPr>
            <w:tcW w:w="2508" w:type="dxa"/>
            <w:vMerge w:val="restart"/>
            <w:shd w:val="clear" w:color="auto" w:fill="D1DEFD" w:themeFill="accent3" w:themeFillTint="33"/>
          </w:tcPr>
          <w:p w14:paraId="62B9376A" w14:textId="77777777" w:rsidR="0013632F" w:rsidRPr="0013632F" w:rsidRDefault="0013632F" w:rsidP="0013632F">
            <w:pPr>
              <w:rPr>
                <w:b/>
                <w:bCs/>
              </w:rPr>
            </w:pPr>
            <w:r w:rsidRPr="0013632F">
              <w:rPr>
                <w:b/>
                <w:bCs/>
              </w:rPr>
              <w:t xml:space="preserve">Protected characteristic  </w:t>
            </w:r>
          </w:p>
        </w:tc>
        <w:tc>
          <w:tcPr>
            <w:tcW w:w="1535" w:type="dxa"/>
            <w:shd w:val="clear" w:color="auto" w:fill="D1DEFD" w:themeFill="accent3" w:themeFillTint="33"/>
          </w:tcPr>
          <w:p w14:paraId="768FBF96" w14:textId="77777777" w:rsidR="0013632F" w:rsidRPr="0013632F" w:rsidRDefault="0013632F" w:rsidP="0013632F">
            <w:pPr>
              <w:rPr>
                <w:b/>
                <w:bCs/>
              </w:rPr>
            </w:pPr>
            <w:r w:rsidRPr="0013632F">
              <w:rPr>
                <w:b/>
                <w:bCs/>
              </w:rPr>
              <w:t>Positive impact or opportunity to benefit</w:t>
            </w:r>
          </w:p>
        </w:tc>
        <w:tc>
          <w:tcPr>
            <w:tcW w:w="1197" w:type="dxa"/>
            <w:shd w:val="clear" w:color="auto" w:fill="D1DEFD" w:themeFill="accent3" w:themeFillTint="33"/>
          </w:tcPr>
          <w:p w14:paraId="03B5D4C8" w14:textId="77777777" w:rsidR="0013632F" w:rsidRPr="0013632F" w:rsidRDefault="0013632F" w:rsidP="0013632F">
            <w:pPr>
              <w:rPr>
                <w:b/>
                <w:bCs/>
              </w:rPr>
            </w:pPr>
            <w:r w:rsidRPr="0013632F">
              <w:rPr>
                <w:b/>
                <w:bCs/>
              </w:rPr>
              <w:t xml:space="preserve">Negative impact </w:t>
            </w:r>
          </w:p>
        </w:tc>
        <w:tc>
          <w:tcPr>
            <w:tcW w:w="4805" w:type="dxa"/>
            <w:vMerge w:val="restart"/>
            <w:shd w:val="clear" w:color="auto" w:fill="D1DEFD" w:themeFill="accent3" w:themeFillTint="33"/>
          </w:tcPr>
          <w:p w14:paraId="71B0B6B9" w14:textId="77777777" w:rsidR="0013632F" w:rsidRPr="0013632F" w:rsidRDefault="0013632F" w:rsidP="0013632F">
            <w:pPr>
              <w:rPr>
                <w:b/>
                <w:bCs/>
              </w:rPr>
            </w:pPr>
            <w:r w:rsidRPr="0013632F">
              <w:rPr>
                <w:b/>
                <w:bCs/>
              </w:rPr>
              <w:t>Please explain the impact including details of any evidence/data used</w:t>
            </w:r>
          </w:p>
        </w:tc>
        <w:tc>
          <w:tcPr>
            <w:tcW w:w="4587" w:type="dxa"/>
            <w:vMerge w:val="restart"/>
            <w:shd w:val="clear" w:color="auto" w:fill="D1DEFD" w:themeFill="accent3" w:themeFillTint="33"/>
          </w:tcPr>
          <w:p w14:paraId="235ECEA5" w14:textId="742888B6" w:rsidR="0013632F" w:rsidRPr="0013632F" w:rsidRDefault="0013632F" w:rsidP="0013632F">
            <w:pPr>
              <w:rPr>
                <w:b/>
                <w:bCs/>
              </w:rPr>
            </w:pPr>
            <w:r w:rsidRPr="0013632F">
              <w:rPr>
                <w:b/>
                <w:bCs/>
              </w:rPr>
              <w:t>Detail actions taken/ that will be taken to increase positive or reduce negative impact (or why action is not possible).</w:t>
            </w:r>
            <w:r w:rsidR="00C744E0">
              <w:rPr>
                <w:b/>
                <w:bCs/>
              </w:rPr>
              <w:t xml:space="preserve"> Detail how you plan to measure the relevant outcomes and outputs of your activity. </w:t>
            </w:r>
          </w:p>
        </w:tc>
      </w:tr>
      <w:tr w:rsidR="0013632F" w:rsidRPr="0013632F" w14:paraId="03425F02" w14:textId="77777777" w:rsidTr="00B32541">
        <w:trPr>
          <w:trHeight w:val="1073"/>
        </w:trPr>
        <w:tc>
          <w:tcPr>
            <w:tcW w:w="2508" w:type="dxa"/>
            <w:vMerge/>
            <w:shd w:val="clear" w:color="auto" w:fill="BAFFF2" w:themeFill="accent1" w:themeFillTint="33"/>
          </w:tcPr>
          <w:p w14:paraId="7E828DD8" w14:textId="77777777" w:rsidR="0013632F" w:rsidRPr="0013632F" w:rsidRDefault="0013632F" w:rsidP="0013632F"/>
        </w:tc>
        <w:tc>
          <w:tcPr>
            <w:tcW w:w="2732" w:type="dxa"/>
            <w:gridSpan w:val="2"/>
            <w:shd w:val="clear" w:color="auto" w:fill="D1DEFD" w:themeFill="accent3" w:themeFillTint="33"/>
          </w:tcPr>
          <w:p w14:paraId="7188A4B5" w14:textId="77777777" w:rsidR="0013632F" w:rsidRPr="0013632F" w:rsidRDefault="0013632F" w:rsidP="0013632F">
            <w:pPr>
              <w:rPr>
                <w:b/>
                <w:bCs/>
              </w:rPr>
            </w:pPr>
            <w:r w:rsidRPr="0013632F">
              <w:rPr>
                <w:b/>
                <w:bCs/>
              </w:rPr>
              <w:t>Leave blank if there is no impact or unknown</w:t>
            </w:r>
          </w:p>
        </w:tc>
        <w:tc>
          <w:tcPr>
            <w:tcW w:w="4805" w:type="dxa"/>
            <w:vMerge/>
            <w:shd w:val="clear" w:color="auto" w:fill="BAFFF2" w:themeFill="accent1" w:themeFillTint="33"/>
          </w:tcPr>
          <w:p w14:paraId="22239CBB" w14:textId="77777777" w:rsidR="0013632F" w:rsidRPr="0013632F" w:rsidRDefault="0013632F" w:rsidP="0013632F"/>
        </w:tc>
        <w:tc>
          <w:tcPr>
            <w:tcW w:w="4587" w:type="dxa"/>
            <w:vMerge/>
            <w:shd w:val="clear" w:color="auto" w:fill="BAFFF2" w:themeFill="accent1" w:themeFillTint="33"/>
          </w:tcPr>
          <w:p w14:paraId="4B4077D7" w14:textId="77777777" w:rsidR="0013632F" w:rsidRPr="0013632F" w:rsidRDefault="0013632F" w:rsidP="0013632F"/>
        </w:tc>
      </w:tr>
      <w:tr w:rsidR="0013632F" w:rsidRPr="0013632F" w14:paraId="00983F82" w14:textId="77777777" w:rsidTr="00B32541">
        <w:trPr>
          <w:trHeight w:val="779"/>
        </w:trPr>
        <w:tc>
          <w:tcPr>
            <w:tcW w:w="2508" w:type="dxa"/>
            <w:shd w:val="clear" w:color="auto" w:fill="D1DEFD" w:themeFill="accent3" w:themeFillTint="33"/>
          </w:tcPr>
          <w:p w14:paraId="2443726C" w14:textId="77777777" w:rsidR="0013632F" w:rsidRPr="0013632F" w:rsidRDefault="0013632F" w:rsidP="0013632F">
            <w:r w:rsidRPr="0013632F">
              <w:t>Age</w:t>
            </w:r>
          </w:p>
        </w:tc>
        <w:sdt>
          <w:sdtPr>
            <w:rPr>
              <w:rFonts w:cs="Arial"/>
              <w:color w:val="000000" w:themeColor="text1"/>
              <w:sz w:val="40"/>
              <w:szCs w:val="40"/>
            </w:rPr>
            <w:id w:val="969411491"/>
            <w14:checkbox>
              <w14:checked w14:val="0"/>
              <w14:checkedState w14:val="2612" w14:font="MS Gothic"/>
              <w14:uncheckedState w14:val="2610" w14:font="MS Gothic"/>
            </w14:checkbox>
          </w:sdtPr>
          <w:sdtEndPr/>
          <w:sdtContent>
            <w:tc>
              <w:tcPr>
                <w:tcW w:w="1535" w:type="dxa"/>
              </w:tcPr>
              <w:p w14:paraId="4A895089" w14:textId="5945C99A"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35748613"/>
            <w14:checkbox>
              <w14:checked w14:val="1"/>
              <w14:checkedState w14:val="2612" w14:font="MS Gothic"/>
              <w14:uncheckedState w14:val="2610" w14:font="MS Gothic"/>
            </w14:checkbox>
          </w:sdtPr>
          <w:sdtEndPr/>
          <w:sdtContent>
            <w:tc>
              <w:tcPr>
                <w:tcW w:w="1197" w:type="dxa"/>
              </w:tcPr>
              <w:p w14:paraId="10E36433" w14:textId="69E34BA9" w:rsidR="0013632F" w:rsidRPr="0013632F" w:rsidRDefault="00434904" w:rsidP="0013632F">
                <w:r>
                  <w:rPr>
                    <w:rFonts w:ascii="MS Gothic" w:eastAsia="MS Gothic" w:hAnsi="MS Gothic" w:cs="Arial" w:hint="eastAsia"/>
                    <w:color w:val="000000" w:themeColor="text1"/>
                    <w:sz w:val="40"/>
                    <w:szCs w:val="40"/>
                  </w:rPr>
                  <w:t>☒</w:t>
                </w:r>
              </w:p>
            </w:tc>
          </w:sdtContent>
        </w:sdt>
        <w:tc>
          <w:tcPr>
            <w:tcW w:w="4805" w:type="dxa"/>
          </w:tcPr>
          <w:p w14:paraId="7E87B67D" w14:textId="0A5EE0A8" w:rsidR="0013632F" w:rsidRPr="0013632F" w:rsidRDefault="00434904" w:rsidP="0013632F">
            <w:r>
              <w:t xml:space="preserve">Potential for unintentional bias. </w:t>
            </w:r>
          </w:p>
        </w:tc>
        <w:tc>
          <w:tcPr>
            <w:tcW w:w="4587" w:type="dxa"/>
          </w:tcPr>
          <w:p w14:paraId="3EF74233" w14:textId="77777777" w:rsidR="0013632F" w:rsidRDefault="00582985" w:rsidP="0013632F">
            <w:r>
              <w:t>Career breaks, changes of career and other factors are considered throughout the process to ensure applicants are not penalised for following alternative career paths.</w:t>
            </w:r>
          </w:p>
          <w:p w14:paraId="3770E1EE" w14:textId="6E13E6DB" w:rsidR="00682DC4" w:rsidRPr="0013632F" w:rsidRDefault="00682DC4" w:rsidP="0013632F">
            <w:r>
              <w:t xml:space="preserve">This call is open to all </w:t>
            </w:r>
            <w:r w:rsidR="0021261E">
              <w:t xml:space="preserve">eligible applicants at any career stage. </w:t>
            </w:r>
          </w:p>
        </w:tc>
      </w:tr>
      <w:tr w:rsidR="0013632F" w:rsidRPr="0013632F" w14:paraId="348B4F8B" w14:textId="77777777" w:rsidTr="00B32541">
        <w:trPr>
          <w:trHeight w:val="472"/>
        </w:trPr>
        <w:tc>
          <w:tcPr>
            <w:tcW w:w="2508" w:type="dxa"/>
            <w:shd w:val="clear" w:color="auto" w:fill="D1DEFD" w:themeFill="accent3" w:themeFillTint="33"/>
          </w:tcPr>
          <w:p w14:paraId="6BC8FBBF" w14:textId="77777777" w:rsidR="0013632F" w:rsidRPr="0013632F" w:rsidRDefault="0013632F" w:rsidP="0013632F">
            <w:r w:rsidRPr="0013632F">
              <w:t>Disability</w:t>
            </w:r>
          </w:p>
          <w:p w14:paraId="186EBDF5" w14:textId="77777777" w:rsidR="0013632F" w:rsidRPr="0013632F" w:rsidRDefault="0013632F" w:rsidP="0013632F"/>
        </w:tc>
        <w:sdt>
          <w:sdtPr>
            <w:rPr>
              <w:rFonts w:cs="Arial"/>
              <w:color w:val="000000" w:themeColor="text1"/>
              <w:sz w:val="40"/>
              <w:szCs w:val="40"/>
            </w:rPr>
            <w:id w:val="970944031"/>
            <w14:checkbox>
              <w14:checked w14:val="0"/>
              <w14:checkedState w14:val="2612" w14:font="MS Gothic"/>
              <w14:uncheckedState w14:val="2610" w14:font="MS Gothic"/>
            </w14:checkbox>
          </w:sdtPr>
          <w:sdtEndPr/>
          <w:sdtContent>
            <w:tc>
              <w:tcPr>
                <w:tcW w:w="1535" w:type="dxa"/>
              </w:tcPr>
              <w:p w14:paraId="6B7A30D9" w14:textId="47AA763F"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44570926"/>
            <w14:checkbox>
              <w14:checked w14:val="1"/>
              <w14:checkedState w14:val="2612" w14:font="MS Gothic"/>
              <w14:uncheckedState w14:val="2610" w14:font="MS Gothic"/>
            </w14:checkbox>
          </w:sdtPr>
          <w:sdtEndPr/>
          <w:sdtContent>
            <w:tc>
              <w:tcPr>
                <w:tcW w:w="1197" w:type="dxa"/>
              </w:tcPr>
              <w:p w14:paraId="49B0F4A9" w14:textId="45B4ABBA" w:rsidR="0013632F" w:rsidRPr="0013632F" w:rsidRDefault="00A44B04" w:rsidP="0013632F">
                <w:r>
                  <w:rPr>
                    <w:rFonts w:ascii="MS Gothic" w:eastAsia="MS Gothic" w:hAnsi="MS Gothic" w:cs="Arial" w:hint="eastAsia"/>
                    <w:color w:val="000000" w:themeColor="text1"/>
                    <w:sz w:val="40"/>
                    <w:szCs w:val="40"/>
                  </w:rPr>
                  <w:t>☒</w:t>
                </w:r>
              </w:p>
            </w:tc>
          </w:sdtContent>
        </w:sdt>
        <w:tc>
          <w:tcPr>
            <w:tcW w:w="4805" w:type="dxa"/>
          </w:tcPr>
          <w:p w14:paraId="13AD3709" w14:textId="77777777" w:rsidR="0013632F" w:rsidRDefault="009D0CF6" w:rsidP="00E46F87">
            <w:r w:rsidRPr="00F8112E">
              <w:t>The impact</w:t>
            </w:r>
            <w:r w:rsidR="007E28F7" w:rsidRPr="00F8112E">
              <w:t xml:space="preserve"> may vary depending on the type of disability, which may include </w:t>
            </w:r>
            <w:r w:rsidR="00E46F87" w:rsidRPr="00F8112E">
              <w:t>neurological, visual, auditory, or other physical disability.</w:t>
            </w:r>
          </w:p>
          <w:p w14:paraId="609B5294" w14:textId="77777777" w:rsidR="001E08EE" w:rsidRDefault="001E08EE" w:rsidP="00E46F87"/>
          <w:p w14:paraId="5E08D19B" w14:textId="7505990C" w:rsidR="001E08EE" w:rsidRPr="00F8112E" w:rsidRDefault="001E08EE" w:rsidP="00E46F87">
            <w:r>
              <w:t>People with disabilities are under-represented in HESA academic staff (5%) compared to the general labour population (13%) and represent a smaller number of BBSRC grant applications. For BBSRC, UKRI diversity data suggests that applicants with known disabilities are no less likely than those without a disability to be awarded a grant as a PI, but slightly less likely as a Co-I.</w:t>
            </w:r>
          </w:p>
          <w:p w14:paraId="649565D0" w14:textId="77777777" w:rsidR="00B15806" w:rsidRDefault="00B15806" w:rsidP="00E46F87">
            <w:pPr>
              <w:rPr>
                <w:sz w:val="24"/>
                <w:szCs w:val="24"/>
              </w:rPr>
            </w:pPr>
          </w:p>
          <w:p w14:paraId="6510AA0A" w14:textId="2EC68301" w:rsidR="00725E44" w:rsidRDefault="00B15806" w:rsidP="00B15806">
            <w:pPr>
              <w:rPr>
                <w:rFonts w:eastAsia="Arial" w:cs="Arial"/>
              </w:rPr>
            </w:pPr>
            <w:r w:rsidRPr="00BD25DA">
              <w:rPr>
                <w:rFonts w:eastAsia="Arial" w:cs="Arial"/>
              </w:rPr>
              <w:lastRenderedPageBreak/>
              <w:t xml:space="preserve">An estimated 15-20% of the world’s population exhibits some form of neurodivergence, this includes those with autism spectrum disorder, ADHD, dyslexia, dyspraxia and other learning disabilities.  Individuals who are neurodivergent (ADHD, Autism, Dyslexia etc) may find standard recruitment calls inaccessible due to formatting of the application form and associated documents or due to the process overall. </w:t>
            </w:r>
          </w:p>
          <w:p w14:paraId="5FE07467" w14:textId="77777777" w:rsidR="002B4AF4" w:rsidRDefault="002B4AF4" w:rsidP="00B15806">
            <w:pPr>
              <w:rPr>
                <w:rFonts w:eastAsia="Arial" w:cs="Arial"/>
              </w:rPr>
            </w:pPr>
          </w:p>
          <w:p w14:paraId="526FCA2F" w14:textId="1304945D" w:rsidR="00B15806" w:rsidRDefault="00725E44" w:rsidP="00B15806">
            <w:pPr>
              <w:rPr>
                <w:rFonts w:eastAsia="Arial" w:cs="Arial"/>
              </w:rPr>
            </w:pPr>
            <w:r>
              <w:rPr>
                <w:rFonts w:eastAsia="Arial" w:cs="Arial"/>
              </w:rPr>
              <w:t>I</w:t>
            </w:r>
            <w:r w:rsidRPr="00BD25DA">
              <w:rPr>
                <w:rFonts w:eastAsia="Arial" w:cs="Arial"/>
              </w:rPr>
              <w:t>ndividuals who are neurodivergent may struggle with in-person meetings due to overwhelming or distracting stimuli</w:t>
            </w:r>
            <w:r w:rsidR="002B4AF4">
              <w:rPr>
                <w:rFonts w:eastAsia="Arial" w:cs="Arial"/>
              </w:rPr>
              <w:t xml:space="preserve"> or would </w:t>
            </w:r>
            <w:r w:rsidR="00724DB4">
              <w:rPr>
                <w:rFonts w:eastAsia="Arial" w:cs="Arial"/>
              </w:rPr>
              <w:t xml:space="preserve">feel more comfortable engaging in different ways or with an adjusted environment. </w:t>
            </w:r>
          </w:p>
          <w:p w14:paraId="27E897F0" w14:textId="77777777" w:rsidR="00724DB4" w:rsidRDefault="00724DB4" w:rsidP="00B15806">
            <w:pPr>
              <w:rPr>
                <w:rFonts w:eastAsia="Arial" w:cs="Arial"/>
              </w:rPr>
            </w:pPr>
          </w:p>
          <w:p w14:paraId="7042A1B7" w14:textId="479192E9" w:rsidR="00724DB4" w:rsidRDefault="00724DB4" w:rsidP="00B15806">
            <w:pPr>
              <w:rPr>
                <w:rFonts w:eastAsia="Arial" w:cs="Arial"/>
              </w:rPr>
            </w:pPr>
            <w:r>
              <w:rPr>
                <w:rFonts w:eastAsia="Arial" w:cs="Arial"/>
              </w:rPr>
              <w:t>Panel members with physica</w:t>
            </w:r>
            <w:r w:rsidR="00A8528D">
              <w:rPr>
                <w:rFonts w:eastAsia="Arial" w:cs="Arial"/>
              </w:rPr>
              <w:t xml:space="preserve">l disabilities may find it difficult to attend a physical panel meeting venue. </w:t>
            </w:r>
          </w:p>
          <w:p w14:paraId="2D591DAF" w14:textId="77777777" w:rsidR="00F80F3B" w:rsidRDefault="00F80F3B" w:rsidP="00B15806">
            <w:pPr>
              <w:rPr>
                <w:rFonts w:eastAsia="Arial" w:cs="Arial"/>
              </w:rPr>
            </w:pPr>
          </w:p>
          <w:p w14:paraId="48F254B0" w14:textId="57B722A1" w:rsidR="00F80F3B" w:rsidRPr="00BD25DA" w:rsidRDefault="00F80F3B" w:rsidP="00B15806">
            <w:pPr>
              <w:rPr>
                <w:rFonts w:eastAsia="Arial" w:cs="Arial"/>
              </w:rPr>
            </w:pPr>
            <w:r>
              <w:rPr>
                <w:rFonts w:eastAsia="Arial" w:cs="Arial"/>
              </w:rPr>
              <w:t xml:space="preserve">Individuals with disabilities may struggle to engage with online platforms and virtual assessments both as </w:t>
            </w:r>
            <w:r w:rsidR="00354FCD">
              <w:rPr>
                <w:rFonts w:eastAsia="Arial" w:cs="Arial"/>
              </w:rPr>
              <w:t xml:space="preserve">applicants and panel members. </w:t>
            </w:r>
          </w:p>
          <w:p w14:paraId="24A6CCBD" w14:textId="772514A1" w:rsidR="00B15806" w:rsidRPr="00E46F87" w:rsidRDefault="00B15806" w:rsidP="00E46F87">
            <w:pPr>
              <w:rPr>
                <w:sz w:val="24"/>
                <w:szCs w:val="24"/>
              </w:rPr>
            </w:pPr>
          </w:p>
        </w:tc>
        <w:tc>
          <w:tcPr>
            <w:tcW w:w="4587" w:type="dxa"/>
          </w:tcPr>
          <w:p w14:paraId="57F15458" w14:textId="20D8E3F5" w:rsidR="00354FCD" w:rsidRDefault="00EC34B9" w:rsidP="0013632F">
            <w:r>
              <w:lastRenderedPageBreak/>
              <w:t>BBSRC will u</w:t>
            </w:r>
            <w:r w:rsidR="00354FCD">
              <w:t xml:space="preserve">se a virtual meeting format and discussion boards </w:t>
            </w:r>
            <w:r w:rsidR="00AD242A">
              <w:t xml:space="preserve">following UKRI’s virtual first policy. Panel members will be made aware of the meeting date in advance and the discussion board period will be </w:t>
            </w:r>
            <w:r w:rsidR="00BA6D9C">
              <w:t xml:space="preserve">1-2 weeks </w:t>
            </w:r>
            <w:r w:rsidR="00AD242A">
              <w:t xml:space="preserve">to allow panel members to </w:t>
            </w:r>
            <w:r w:rsidR="002D56AB">
              <w:t xml:space="preserve">submit their comments when they feel it is appropriate. </w:t>
            </w:r>
          </w:p>
          <w:p w14:paraId="6F0BEDBD" w14:textId="77777777" w:rsidR="002D56AB" w:rsidRDefault="002D56AB" w:rsidP="0013632F"/>
          <w:p w14:paraId="6A378BB0" w14:textId="0AAB33A8" w:rsidR="002D56AB" w:rsidRDefault="00EC34B9" w:rsidP="0013632F">
            <w:r>
              <w:t>BBSRC wi</w:t>
            </w:r>
            <w:r w:rsidR="002D56AB">
              <w:t xml:space="preserve">ll respond to any requests for reasonable adjustments to the application or assessment process on a case-by-case basis. </w:t>
            </w:r>
          </w:p>
          <w:p w14:paraId="501AD27B" w14:textId="77777777" w:rsidR="002D56AB" w:rsidRDefault="002D56AB" w:rsidP="0013632F"/>
          <w:p w14:paraId="7D466DD1" w14:textId="51F71D1F" w:rsidR="002D56AB" w:rsidRDefault="002D56AB" w:rsidP="0013632F">
            <w:r>
              <w:lastRenderedPageBreak/>
              <w:t>Ensure that plenty of breaks are built into the panel meeting</w:t>
            </w:r>
            <w:r w:rsidR="007037F1">
              <w:t xml:space="preserve"> and launch webinar. </w:t>
            </w:r>
          </w:p>
          <w:p w14:paraId="7724E595" w14:textId="77777777" w:rsidR="007037F1" w:rsidRDefault="007037F1" w:rsidP="0013632F"/>
          <w:p w14:paraId="55C10A0B" w14:textId="34C884B4" w:rsidR="007037F1" w:rsidRDefault="009A6076" w:rsidP="0013632F">
            <w:r>
              <w:t xml:space="preserve">Make it clear that the networking session during the launch webinar is optional and other methods of networking post-meeting will be offered where possible. </w:t>
            </w:r>
          </w:p>
          <w:p w14:paraId="554ACFA4" w14:textId="77777777" w:rsidR="002D56AB" w:rsidRDefault="002D56AB" w:rsidP="0013632F"/>
          <w:p w14:paraId="295BFB94" w14:textId="6A4E32B8" w:rsidR="002D56AB" w:rsidRDefault="00EC34B9" w:rsidP="0013632F">
            <w:r>
              <w:t>A</w:t>
            </w:r>
            <w:r w:rsidR="00482F1D">
              <w:t>llow for potential use of screen readers for participants who are visually impaired</w:t>
            </w:r>
            <w:r w:rsidR="007708BB">
              <w:t xml:space="preserve"> to</w:t>
            </w:r>
          </w:p>
          <w:p w14:paraId="425CCD7D" w14:textId="1BA22F40" w:rsidR="00482F1D" w:rsidRDefault="00482F1D" w:rsidP="0013632F">
            <w:proofErr w:type="gramStart"/>
            <w:r>
              <w:t>make adjustments</w:t>
            </w:r>
            <w:proofErr w:type="gramEnd"/>
            <w:r>
              <w:t xml:space="preserve"> throughout the assessment process where appropriate, for example ensuring committee members who do not wish to use Zoom can use an alternative online platform.</w:t>
            </w:r>
          </w:p>
          <w:p w14:paraId="43302442" w14:textId="77777777" w:rsidR="00482F1D" w:rsidRDefault="00482F1D" w:rsidP="0013632F"/>
          <w:p w14:paraId="343C9275" w14:textId="1816C4A2" w:rsidR="002D56AB" w:rsidRDefault="00EC34B9" w:rsidP="0013632F">
            <w:r>
              <w:t>If a person benefitting from the award is already employed at the organisation before working on the grant, if the individual has disability related support for their day-to-day activities, but this increases as a direct result of them working on the award, for example, having an assistant travel with them for fieldwork, then these additional costs can be charged to the project.</w:t>
            </w:r>
          </w:p>
          <w:p w14:paraId="4B519506" w14:textId="77777777" w:rsidR="00EC34B9" w:rsidRDefault="00EC34B9" w:rsidP="0013632F"/>
          <w:p w14:paraId="035EC5B3" w14:textId="49EE7C2C" w:rsidR="00EC34B9" w:rsidRDefault="00992C45" w:rsidP="0013632F">
            <w:r>
              <w:t>The BBSRC website conforms to accessibility requirements for websites, including the ability to adjust the text size or use a text reader on the page</w:t>
            </w:r>
            <w:r w:rsidR="00A44B04">
              <w:t>.</w:t>
            </w:r>
          </w:p>
          <w:p w14:paraId="34178A30" w14:textId="77777777" w:rsidR="00992C45" w:rsidRDefault="00992C45" w:rsidP="0013632F"/>
          <w:p w14:paraId="0FB6F336" w14:textId="5F89BE0B" w:rsidR="00F64C9E" w:rsidRDefault="00992C45" w:rsidP="0013632F">
            <w:r>
              <w:t>We will ensure that closed captions are available for virtual meetings</w:t>
            </w:r>
            <w:r w:rsidR="00A44B04">
              <w:t>.</w:t>
            </w:r>
          </w:p>
          <w:p w14:paraId="2E09443B" w14:textId="603D8C4F" w:rsidR="002D56AB" w:rsidRPr="0013632F" w:rsidRDefault="002D56AB" w:rsidP="0013632F"/>
        </w:tc>
      </w:tr>
      <w:tr w:rsidR="0013632F" w:rsidRPr="0013632F" w14:paraId="0B0797AA" w14:textId="77777777" w:rsidTr="00B32541">
        <w:trPr>
          <w:trHeight w:val="205"/>
        </w:trPr>
        <w:tc>
          <w:tcPr>
            <w:tcW w:w="2508" w:type="dxa"/>
            <w:shd w:val="clear" w:color="auto" w:fill="D1DEFD" w:themeFill="accent3" w:themeFillTint="33"/>
          </w:tcPr>
          <w:p w14:paraId="5F77659B" w14:textId="77777777" w:rsidR="0013632F" w:rsidRPr="0013632F" w:rsidRDefault="0013632F" w:rsidP="0013632F">
            <w:r w:rsidRPr="0013632F">
              <w:lastRenderedPageBreak/>
              <w:t>Gender reassignment (Trans identity)</w:t>
            </w:r>
          </w:p>
        </w:tc>
        <w:sdt>
          <w:sdtPr>
            <w:rPr>
              <w:rFonts w:cs="Arial"/>
              <w:color w:val="000000" w:themeColor="text1"/>
              <w:sz w:val="40"/>
              <w:szCs w:val="40"/>
            </w:rPr>
            <w:id w:val="-737091614"/>
            <w14:checkbox>
              <w14:checked w14:val="0"/>
              <w14:checkedState w14:val="2612" w14:font="MS Gothic"/>
              <w14:uncheckedState w14:val="2610" w14:font="MS Gothic"/>
            </w14:checkbox>
          </w:sdtPr>
          <w:sdtEndPr/>
          <w:sdtContent>
            <w:tc>
              <w:tcPr>
                <w:tcW w:w="1535" w:type="dxa"/>
              </w:tcPr>
              <w:p w14:paraId="0281CA8C" w14:textId="63307EA4"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97383883"/>
            <w14:checkbox>
              <w14:checked w14:val="1"/>
              <w14:checkedState w14:val="2612" w14:font="MS Gothic"/>
              <w14:uncheckedState w14:val="2610" w14:font="MS Gothic"/>
            </w14:checkbox>
          </w:sdtPr>
          <w:sdtEndPr/>
          <w:sdtContent>
            <w:tc>
              <w:tcPr>
                <w:tcW w:w="1197" w:type="dxa"/>
              </w:tcPr>
              <w:p w14:paraId="48440B2A" w14:textId="76D92D4B" w:rsidR="0013632F" w:rsidRPr="0013632F" w:rsidRDefault="00A44B04" w:rsidP="0013632F">
                <w:r>
                  <w:rPr>
                    <w:rFonts w:ascii="MS Gothic" w:eastAsia="MS Gothic" w:hAnsi="MS Gothic" w:cs="Arial" w:hint="eastAsia"/>
                    <w:color w:val="000000" w:themeColor="text1"/>
                    <w:sz w:val="40"/>
                    <w:szCs w:val="40"/>
                  </w:rPr>
                  <w:t>☒</w:t>
                </w:r>
              </w:p>
            </w:tc>
          </w:sdtContent>
        </w:sdt>
        <w:tc>
          <w:tcPr>
            <w:tcW w:w="4805" w:type="dxa"/>
          </w:tcPr>
          <w:p w14:paraId="5816736A" w14:textId="77777777" w:rsidR="006E5A6A" w:rsidRPr="00BD25DA" w:rsidRDefault="006E5A6A" w:rsidP="006E5A6A">
            <w:pPr>
              <w:rPr>
                <w:rFonts w:eastAsia="Arial" w:cs="Arial"/>
              </w:rPr>
            </w:pPr>
            <w:r w:rsidRPr="00BD25DA">
              <w:rPr>
                <w:rFonts w:eastAsia="Arial" w:cs="Arial"/>
              </w:rPr>
              <w:t xml:space="preserve">Based on the England and Wales census 2021 data, 262,000 people indicated that their gender identity was different from their sex registered at birth. Additionally, according to a YouGov (2021) survey of 410 trans employees across the UK, 65% said they have had to hide their trans status at work, 32% had experienced discrimination in the last 5 years and 43% had quit because their work environment was unwelcoming. </w:t>
            </w:r>
          </w:p>
          <w:p w14:paraId="756D2DD6" w14:textId="77777777" w:rsidR="0013632F" w:rsidRPr="0013632F" w:rsidRDefault="0013632F" w:rsidP="0013632F"/>
        </w:tc>
        <w:tc>
          <w:tcPr>
            <w:tcW w:w="4587" w:type="dxa"/>
          </w:tcPr>
          <w:p w14:paraId="6A9441A7" w14:textId="77777777" w:rsidR="00F26906" w:rsidRPr="00BD25DA" w:rsidRDefault="00F26906" w:rsidP="00F26906">
            <w:pPr>
              <w:rPr>
                <w:rFonts w:eastAsia="Arial" w:cs="Arial"/>
              </w:rPr>
            </w:pPr>
            <w:r w:rsidRPr="00BD25DA">
              <w:rPr>
                <w:rFonts w:eastAsia="Arial" w:cs="Arial"/>
              </w:rPr>
              <w:t xml:space="preserve">Ensure any transition or trans inclusive diversity policies are publicly promoted and visible on call text/website/media platforms/adverts. Gender neutral language will also be used throughout the application/call for members. </w:t>
            </w:r>
          </w:p>
          <w:p w14:paraId="311F535E" w14:textId="58861D09" w:rsidR="0013632F" w:rsidRDefault="00EF4C5E" w:rsidP="0013632F">
            <w:pPr>
              <w:rPr>
                <w:rFonts w:eastAsia="Arial" w:cs="Arial"/>
              </w:rPr>
            </w:pPr>
            <w:r w:rsidRPr="00BD25DA">
              <w:rPr>
                <w:rFonts w:eastAsia="Arial" w:cs="Arial"/>
              </w:rPr>
              <w:t>Ask ahead of the meeting whether there are any additional accessibility requests from attendees.</w:t>
            </w:r>
          </w:p>
          <w:p w14:paraId="2C1C9174" w14:textId="77777777" w:rsidR="00F717D9" w:rsidRDefault="00F717D9" w:rsidP="0013632F">
            <w:pPr>
              <w:rPr>
                <w:rFonts w:eastAsia="Arial" w:cs="Arial"/>
              </w:rPr>
            </w:pPr>
          </w:p>
          <w:p w14:paraId="5648E672" w14:textId="45BD912F" w:rsidR="00F717D9" w:rsidRDefault="00F717D9" w:rsidP="0013632F">
            <w:r w:rsidRPr="00BD25DA">
              <w:rPr>
                <w:rFonts w:cs="Arial"/>
              </w:rPr>
              <w:t>Panel members will be asked to display their preferred pronouns if they are comfortable to, minimising the risk of misgendering.</w:t>
            </w:r>
            <w:r w:rsidRPr="00BD25DA">
              <w:t xml:space="preserve"> </w:t>
            </w:r>
            <w:r w:rsidRPr="00BD25DA">
              <w:rPr>
                <w:rFonts w:cs="Arial"/>
              </w:rPr>
              <w:t>No dress code will be requested for in-person meetings</w:t>
            </w:r>
            <w:r w:rsidRPr="00BD25DA">
              <w:t>.</w:t>
            </w:r>
          </w:p>
          <w:p w14:paraId="7E675DF7" w14:textId="77777777" w:rsidR="00F717D9" w:rsidRDefault="00F717D9" w:rsidP="0013632F"/>
          <w:p w14:paraId="59400E59" w14:textId="2C19A29B" w:rsidR="00F717D9" w:rsidRDefault="00EE7394" w:rsidP="0013632F">
            <w:r w:rsidRPr="00BD25DA">
              <w:rPr>
                <w:rFonts w:eastAsia="Arial" w:cs="Arial"/>
              </w:rPr>
              <w:t xml:space="preserve">Gender neutral pronouns will be used when requested and all efforts will be made to avoid deadnaming individuals. Confidentiality will be maintained at all times between </w:t>
            </w:r>
            <w:r>
              <w:rPr>
                <w:rFonts w:eastAsia="Arial" w:cs="Arial"/>
              </w:rPr>
              <w:t>panel members or applicants and</w:t>
            </w:r>
            <w:r w:rsidRPr="00BD25DA">
              <w:rPr>
                <w:rFonts w:eastAsia="Arial" w:cs="Arial"/>
              </w:rPr>
              <w:t xml:space="preserve"> BBSRC staff, should </w:t>
            </w:r>
            <w:r>
              <w:rPr>
                <w:rFonts w:eastAsia="Arial" w:cs="Arial"/>
              </w:rPr>
              <w:t xml:space="preserve">individuals </w:t>
            </w:r>
            <w:r w:rsidRPr="00BD25DA">
              <w:rPr>
                <w:rFonts w:eastAsia="Arial" w:cs="Arial"/>
              </w:rPr>
              <w:t>wish to disclose any information regarding their gender expression or identity.</w:t>
            </w:r>
          </w:p>
          <w:p w14:paraId="78846AF1" w14:textId="56F932D1" w:rsidR="00F26906" w:rsidRPr="0013632F" w:rsidRDefault="00F26906" w:rsidP="0013632F"/>
        </w:tc>
      </w:tr>
      <w:tr w:rsidR="0013632F" w:rsidRPr="0013632F" w14:paraId="1848A452" w14:textId="77777777" w:rsidTr="00B32541">
        <w:trPr>
          <w:trHeight w:val="205"/>
        </w:trPr>
        <w:tc>
          <w:tcPr>
            <w:tcW w:w="2508" w:type="dxa"/>
            <w:shd w:val="clear" w:color="auto" w:fill="D1DEFD" w:themeFill="accent3" w:themeFillTint="33"/>
          </w:tcPr>
          <w:p w14:paraId="3D520ED4" w14:textId="77777777" w:rsidR="0013632F" w:rsidRPr="0013632F" w:rsidRDefault="0013632F" w:rsidP="0013632F">
            <w:r w:rsidRPr="0013632F">
              <w:t>Marriage or civil partnership</w:t>
            </w:r>
          </w:p>
        </w:tc>
        <w:sdt>
          <w:sdtPr>
            <w:rPr>
              <w:rFonts w:cs="Arial"/>
              <w:color w:val="000000" w:themeColor="text1"/>
              <w:sz w:val="40"/>
              <w:szCs w:val="40"/>
            </w:rPr>
            <w:id w:val="2048176991"/>
            <w14:checkbox>
              <w14:checked w14:val="0"/>
              <w14:checkedState w14:val="2612" w14:font="MS Gothic"/>
              <w14:uncheckedState w14:val="2610" w14:font="MS Gothic"/>
            </w14:checkbox>
          </w:sdtPr>
          <w:sdtEndPr/>
          <w:sdtContent>
            <w:tc>
              <w:tcPr>
                <w:tcW w:w="1535" w:type="dxa"/>
              </w:tcPr>
              <w:p w14:paraId="100FAC17" w14:textId="680B61B4"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39457021"/>
            <w14:checkbox>
              <w14:checked w14:val="0"/>
              <w14:checkedState w14:val="2612" w14:font="MS Gothic"/>
              <w14:uncheckedState w14:val="2610" w14:font="MS Gothic"/>
            </w14:checkbox>
          </w:sdtPr>
          <w:sdtEndPr/>
          <w:sdtContent>
            <w:tc>
              <w:tcPr>
                <w:tcW w:w="1197" w:type="dxa"/>
              </w:tcPr>
              <w:p w14:paraId="4449B65D" w14:textId="59E1284B"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5AE5D69D" w14:textId="77777777" w:rsidR="0013632F" w:rsidRPr="0013632F" w:rsidRDefault="0013632F" w:rsidP="0013632F"/>
        </w:tc>
        <w:tc>
          <w:tcPr>
            <w:tcW w:w="4587" w:type="dxa"/>
          </w:tcPr>
          <w:p w14:paraId="3E673427" w14:textId="77777777" w:rsidR="0013632F" w:rsidRPr="0013632F" w:rsidRDefault="0013632F" w:rsidP="0013632F"/>
        </w:tc>
      </w:tr>
      <w:tr w:rsidR="0013632F" w:rsidRPr="0013632F" w14:paraId="6050ABF1" w14:textId="77777777" w:rsidTr="00B32541">
        <w:trPr>
          <w:trHeight w:val="205"/>
        </w:trPr>
        <w:tc>
          <w:tcPr>
            <w:tcW w:w="2508" w:type="dxa"/>
            <w:shd w:val="clear" w:color="auto" w:fill="D1DEFD" w:themeFill="accent3" w:themeFillTint="33"/>
          </w:tcPr>
          <w:p w14:paraId="35D4A3B3" w14:textId="77777777" w:rsidR="0013632F" w:rsidRPr="0013632F" w:rsidRDefault="0013632F" w:rsidP="0013632F">
            <w:r w:rsidRPr="0013632F">
              <w:t>Pregnancy and maternity/paternity</w:t>
            </w:r>
          </w:p>
        </w:tc>
        <w:sdt>
          <w:sdtPr>
            <w:rPr>
              <w:rFonts w:cs="Arial"/>
              <w:color w:val="000000" w:themeColor="text1"/>
              <w:sz w:val="40"/>
              <w:szCs w:val="40"/>
            </w:rPr>
            <w:id w:val="290176123"/>
            <w14:checkbox>
              <w14:checked w14:val="0"/>
              <w14:checkedState w14:val="2612" w14:font="MS Gothic"/>
              <w14:uncheckedState w14:val="2610" w14:font="MS Gothic"/>
            </w14:checkbox>
          </w:sdtPr>
          <w:sdtEndPr/>
          <w:sdtContent>
            <w:tc>
              <w:tcPr>
                <w:tcW w:w="1535" w:type="dxa"/>
              </w:tcPr>
              <w:p w14:paraId="3998CF90" w14:textId="2AAD5F1D"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718562130"/>
            <w14:checkbox>
              <w14:checked w14:val="1"/>
              <w14:checkedState w14:val="2612" w14:font="MS Gothic"/>
              <w14:uncheckedState w14:val="2610" w14:font="MS Gothic"/>
            </w14:checkbox>
          </w:sdtPr>
          <w:sdtEndPr/>
          <w:sdtContent>
            <w:tc>
              <w:tcPr>
                <w:tcW w:w="1197" w:type="dxa"/>
              </w:tcPr>
              <w:p w14:paraId="365F905E" w14:textId="3850454A" w:rsidR="0013632F" w:rsidRPr="0013632F" w:rsidRDefault="00384423" w:rsidP="0013632F">
                <w:r>
                  <w:rPr>
                    <w:rFonts w:ascii="MS Gothic" w:eastAsia="MS Gothic" w:hAnsi="MS Gothic" w:cs="Arial" w:hint="eastAsia"/>
                    <w:color w:val="000000" w:themeColor="text1"/>
                    <w:sz w:val="40"/>
                    <w:szCs w:val="40"/>
                  </w:rPr>
                  <w:t>☒</w:t>
                </w:r>
              </w:p>
            </w:tc>
          </w:sdtContent>
        </w:sdt>
        <w:tc>
          <w:tcPr>
            <w:tcW w:w="4805" w:type="dxa"/>
          </w:tcPr>
          <w:p w14:paraId="7D2058F4" w14:textId="59C86436" w:rsidR="0013632F" w:rsidRDefault="003B6B21" w:rsidP="0013632F">
            <w:r w:rsidRPr="003B6B21">
              <w:t xml:space="preserve">Applicants </w:t>
            </w:r>
            <w:r>
              <w:t>may be on</w:t>
            </w:r>
            <w:r w:rsidRPr="003B6B21">
              <w:t xml:space="preserve"> parental leave whilst the opportunity is open, potentially affecting their awareness of this opportunity and ability to participate.</w:t>
            </w:r>
          </w:p>
          <w:p w14:paraId="1EB21ACE" w14:textId="77777777" w:rsidR="003B6B21" w:rsidRDefault="003B6B21" w:rsidP="0013632F"/>
          <w:p w14:paraId="1A990072" w14:textId="08AC1ACE" w:rsidR="003B6B21" w:rsidRDefault="002B1330" w:rsidP="0013632F">
            <w:r w:rsidRPr="00BD25DA">
              <w:rPr>
                <w:rFonts w:eastAsia="Arial" w:cs="Arial"/>
              </w:rPr>
              <w:t xml:space="preserve">individuals who are pregnant may have additional accessibility requests such as ground floor facilities, lifts or require more </w:t>
            </w:r>
            <w:r w:rsidRPr="00BD25DA">
              <w:rPr>
                <w:rFonts w:eastAsia="Arial" w:cs="Arial"/>
              </w:rPr>
              <w:lastRenderedPageBreak/>
              <w:t>frequent breaks and additional dietary requirements.</w:t>
            </w:r>
          </w:p>
          <w:p w14:paraId="0B3243D0" w14:textId="5D018758" w:rsidR="003B6B21" w:rsidRPr="0013632F" w:rsidRDefault="003B6B21" w:rsidP="0013632F"/>
        </w:tc>
        <w:tc>
          <w:tcPr>
            <w:tcW w:w="4587" w:type="dxa"/>
          </w:tcPr>
          <w:p w14:paraId="23CBE656" w14:textId="77777777" w:rsidR="0013632F" w:rsidRDefault="002B1330" w:rsidP="0013632F">
            <w:r>
              <w:lastRenderedPageBreak/>
              <w:t>Use a virtual meeting format and discussion boards in line with UKRIs Virtual-First Policy</w:t>
            </w:r>
          </w:p>
          <w:p w14:paraId="5F7D7541" w14:textId="77777777" w:rsidR="007717A1" w:rsidRDefault="007717A1" w:rsidP="0013632F"/>
          <w:p w14:paraId="30656E66" w14:textId="584658FA" w:rsidR="007717A1" w:rsidRDefault="007717A1" w:rsidP="0013632F">
            <w:r>
              <w:t xml:space="preserve">Regular breaks will be scheduled throughout the panel assessment meeting and the launch </w:t>
            </w:r>
            <w:proofErr w:type="gramStart"/>
            <w:r>
              <w:t>webinar</w:t>
            </w:r>
            <w:proofErr w:type="gramEnd"/>
          </w:p>
          <w:p w14:paraId="7DB75759" w14:textId="77777777" w:rsidR="002B1330" w:rsidRDefault="002B1330" w:rsidP="0013632F"/>
          <w:p w14:paraId="3FF4EEFC" w14:textId="77777777" w:rsidR="002B1330" w:rsidRDefault="00CF2B57" w:rsidP="0013632F">
            <w:r>
              <w:lastRenderedPageBreak/>
              <w:t>This opportunity will be open for approximately 10 weeks and will be widely advertised on social media where pos</w:t>
            </w:r>
            <w:r w:rsidR="00AE100E">
              <w:t>sible to ensure those on parental leave may see the opportunity outside of work.</w:t>
            </w:r>
          </w:p>
          <w:p w14:paraId="1A5C0AF6" w14:textId="77777777" w:rsidR="00AE100E" w:rsidRDefault="00AE100E" w:rsidP="0013632F"/>
          <w:p w14:paraId="226037FD" w14:textId="1392CBA6" w:rsidR="00AE100E" w:rsidRPr="0013632F" w:rsidRDefault="007717A1" w:rsidP="0013632F">
            <w:r>
              <w:rPr>
                <w:rFonts w:eastAsia="Arial" w:cs="Arial"/>
              </w:rPr>
              <w:t xml:space="preserve">Specific requests </w:t>
            </w:r>
            <w:r w:rsidR="00FA3202">
              <w:rPr>
                <w:rFonts w:eastAsia="Arial" w:cs="Arial"/>
              </w:rPr>
              <w:t xml:space="preserve">for reasonable adjustments can </w:t>
            </w:r>
            <w:r w:rsidRPr="00BD25DA">
              <w:rPr>
                <w:rFonts w:eastAsia="Arial" w:cs="Arial"/>
              </w:rPr>
              <w:t>be assessed on a case-by-case basis.</w:t>
            </w:r>
          </w:p>
        </w:tc>
      </w:tr>
      <w:tr w:rsidR="0013632F" w:rsidRPr="0013632F" w14:paraId="1B19424E" w14:textId="77777777" w:rsidTr="00B32541">
        <w:trPr>
          <w:trHeight w:val="205"/>
        </w:trPr>
        <w:tc>
          <w:tcPr>
            <w:tcW w:w="2508" w:type="dxa"/>
            <w:shd w:val="clear" w:color="auto" w:fill="D1DEFD" w:themeFill="accent3" w:themeFillTint="33"/>
          </w:tcPr>
          <w:p w14:paraId="11E11DE3" w14:textId="77777777" w:rsidR="0013632F" w:rsidRPr="0013632F" w:rsidRDefault="0013632F" w:rsidP="0013632F">
            <w:r w:rsidRPr="0013632F">
              <w:lastRenderedPageBreak/>
              <w:t>Race</w:t>
            </w:r>
          </w:p>
        </w:tc>
        <w:sdt>
          <w:sdtPr>
            <w:rPr>
              <w:rFonts w:cs="Arial"/>
              <w:color w:val="000000" w:themeColor="text1"/>
              <w:sz w:val="40"/>
              <w:szCs w:val="40"/>
            </w:rPr>
            <w:id w:val="-1532943979"/>
            <w14:checkbox>
              <w14:checked w14:val="0"/>
              <w14:checkedState w14:val="2612" w14:font="MS Gothic"/>
              <w14:uncheckedState w14:val="2610" w14:font="MS Gothic"/>
            </w14:checkbox>
          </w:sdtPr>
          <w:sdtEndPr/>
          <w:sdtContent>
            <w:tc>
              <w:tcPr>
                <w:tcW w:w="1535" w:type="dxa"/>
              </w:tcPr>
              <w:p w14:paraId="04443F12" w14:textId="4ED98740"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96948796"/>
            <w14:checkbox>
              <w14:checked w14:val="1"/>
              <w14:checkedState w14:val="2612" w14:font="MS Gothic"/>
              <w14:uncheckedState w14:val="2610" w14:font="MS Gothic"/>
            </w14:checkbox>
          </w:sdtPr>
          <w:sdtEndPr/>
          <w:sdtContent>
            <w:tc>
              <w:tcPr>
                <w:tcW w:w="1197" w:type="dxa"/>
              </w:tcPr>
              <w:p w14:paraId="49345275" w14:textId="50EC5DE2" w:rsidR="0013632F" w:rsidRPr="0013632F" w:rsidRDefault="00141716" w:rsidP="0013632F">
                <w:r>
                  <w:rPr>
                    <w:rFonts w:ascii="MS Gothic" w:eastAsia="MS Gothic" w:hAnsi="MS Gothic" w:cs="Arial" w:hint="eastAsia"/>
                    <w:color w:val="000000" w:themeColor="text1"/>
                    <w:sz w:val="40"/>
                    <w:szCs w:val="40"/>
                  </w:rPr>
                  <w:t>☒</w:t>
                </w:r>
              </w:p>
            </w:tc>
          </w:sdtContent>
        </w:sdt>
        <w:tc>
          <w:tcPr>
            <w:tcW w:w="4805" w:type="dxa"/>
          </w:tcPr>
          <w:p w14:paraId="21B90499" w14:textId="42592719" w:rsidR="00880839" w:rsidRPr="00BD25DA" w:rsidRDefault="00880839" w:rsidP="00880839">
            <w:pPr>
              <w:rPr>
                <w:rFonts w:eastAsia="Arial" w:cs="Arial"/>
              </w:rPr>
            </w:pPr>
            <w:r w:rsidRPr="00BD25DA">
              <w:rPr>
                <w:rFonts w:eastAsia="Arial" w:cs="Arial"/>
              </w:rPr>
              <w:t xml:space="preserve">UKRI award data and HESA data show that there is a significant underrepresentation of Black researchers within the biosciences. This data also shows a significant overrepresentation of White researchers. </w:t>
            </w:r>
          </w:p>
          <w:p w14:paraId="3C14267C" w14:textId="77777777" w:rsidR="0013632F" w:rsidRDefault="0013632F" w:rsidP="0013632F"/>
          <w:p w14:paraId="06773A83" w14:textId="687EEDA1" w:rsidR="00880839" w:rsidRDefault="00297755" w:rsidP="0013632F">
            <w:pPr>
              <w:rPr>
                <w:rFonts w:eastAsia="Arial" w:cs="Arial"/>
              </w:rPr>
            </w:pPr>
            <w:r w:rsidRPr="00BD25DA">
              <w:rPr>
                <w:rFonts w:eastAsia="Arial" w:cs="Arial"/>
              </w:rPr>
              <w:t xml:space="preserve">Due to the significant underrepresentation, we may receive fewer applications from Black </w:t>
            </w:r>
            <w:r>
              <w:rPr>
                <w:rFonts w:eastAsia="Arial" w:cs="Arial"/>
              </w:rPr>
              <w:t>individuals</w:t>
            </w:r>
            <w:r w:rsidR="009333BF">
              <w:rPr>
                <w:rFonts w:eastAsia="Arial" w:cs="Arial"/>
              </w:rPr>
              <w:t>.</w:t>
            </w:r>
          </w:p>
          <w:p w14:paraId="0CC67470" w14:textId="77777777" w:rsidR="00B408E2" w:rsidRDefault="00B408E2" w:rsidP="0013632F">
            <w:pPr>
              <w:rPr>
                <w:rFonts w:eastAsia="Arial" w:cs="Arial"/>
              </w:rPr>
            </w:pPr>
          </w:p>
          <w:p w14:paraId="6AF71054" w14:textId="6DAB8CF3" w:rsidR="00B408E2" w:rsidRDefault="00B408E2" w:rsidP="0013632F">
            <w:r>
              <w:t>It is important that selection of panel members and peer reviewers is from a diverse community which represents the community and UK as a whole</w:t>
            </w:r>
            <w:r w:rsidR="00183E2C">
              <w:t>.</w:t>
            </w:r>
          </w:p>
          <w:p w14:paraId="774C1FD4" w14:textId="6C15414E" w:rsidR="00880839" w:rsidRPr="0013632F" w:rsidRDefault="00880839" w:rsidP="0013632F"/>
        </w:tc>
        <w:tc>
          <w:tcPr>
            <w:tcW w:w="4587" w:type="dxa"/>
          </w:tcPr>
          <w:p w14:paraId="14151404" w14:textId="77777777" w:rsidR="0013632F" w:rsidRDefault="00DD0213" w:rsidP="0013632F">
            <w:pPr>
              <w:rPr>
                <w:rFonts w:eastAsia="Arial" w:cs="Arial"/>
              </w:rPr>
            </w:pPr>
            <w:r>
              <w:rPr>
                <w:rFonts w:eastAsia="Arial" w:cs="Arial"/>
              </w:rPr>
              <w:t>E</w:t>
            </w:r>
            <w:r w:rsidRPr="00BD25DA">
              <w:rPr>
                <w:rFonts w:eastAsia="Arial" w:cs="Arial"/>
              </w:rPr>
              <w:t>nsure that the application/call for members is widely advertised via social media and through our existing networks. BBSRC will engage with other existing networks associated with underrepresented groups where possible in order to circulate this opportunity to a wide audience.</w:t>
            </w:r>
          </w:p>
          <w:p w14:paraId="2C919E9D" w14:textId="77777777" w:rsidR="00B408E2" w:rsidRDefault="00B408E2" w:rsidP="0013632F">
            <w:pPr>
              <w:rPr>
                <w:rFonts w:eastAsia="Arial" w:cs="Arial"/>
              </w:rPr>
            </w:pPr>
          </w:p>
          <w:p w14:paraId="3E6DF33D" w14:textId="374EA9B0" w:rsidR="00B408E2" w:rsidRPr="0013632F" w:rsidRDefault="00B408E2" w:rsidP="0013632F">
            <w:r>
              <w:t>UKRI-BBSRC will monitor the diversity of panel members to ensure representation of the community and a diversity of opinion.</w:t>
            </w:r>
          </w:p>
        </w:tc>
      </w:tr>
      <w:tr w:rsidR="0013632F" w:rsidRPr="0013632F" w14:paraId="636FBFAF" w14:textId="77777777" w:rsidTr="00B32541">
        <w:trPr>
          <w:trHeight w:val="205"/>
        </w:trPr>
        <w:tc>
          <w:tcPr>
            <w:tcW w:w="2508" w:type="dxa"/>
            <w:shd w:val="clear" w:color="auto" w:fill="D1DEFD" w:themeFill="accent3" w:themeFillTint="33"/>
          </w:tcPr>
          <w:p w14:paraId="33116754" w14:textId="77777777" w:rsidR="0013632F" w:rsidRPr="0013632F" w:rsidRDefault="0013632F" w:rsidP="0013632F">
            <w:r w:rsidRPr="0013632F">
              <w:t>Religion or belief</w:t>
            </w:r>
          </w:p>
        </w:tc>
        <w:sdt>
          <w:sdtPr>
            <w:rPr>
              <w:rFonts w:cs="Arial"/>
              <w:color w:val="000000" w:themeColor="text1"/>
              <w:sz w:val="40"/>
              <w:szCs w:val="40"/>
            </w:rPr>
            <w:id w:val="997228618"/>
            <w14:checkbox>
              <w14:checked w14:val="0"/>
              <w14:checkedState w14:val="2612" w14:font="MS Gothic"/>
              <w14:uncheckedState w14:val="2610" w14:font="MS Gothic"/>
            </w14:checkbox>
          </w:sdtPr>
          <w:sdtEndPr/>
          <w:sdtContent>
            <w:tc>
              <w:tcPr>
                <w:tcW w:w="1535" w:type="dxa"/>
              </w:tcPr>
              <w:p w14:paraId="3DB5D5CF" w14:textId="76404887"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7444043"/>
            <w14:checkbox>
              <w14:checked w14:val="1"/>
              <w14:checkedState w14:val="2612" w14:font="MS Gothic"/>
              <w14:uncheckedState w14:val="2610" w14:font="MS Gothic"/>
            </w14:checkbox>
          </w:sdtPr>
          <w:sdtEndPr/>
          <w:sdtContent>
            <w:tc>
              <w:tcPr>
                <w:tcW w:w="1197" w:type="dxa"/>
              </w:tcPr>
              <w:p w14:paraId="03D84D4E" w14:textId="096C8577" w:rsidR="0013632F" w:rsidRPr="0013632F" w:rsidRDefault="00B7581F" w:rsidP="0013632F">
                <w:r>
                  <w:rPr>
                    <w:rFonts w:ascii="MS Gothic" w:eastAsia="MS Gothic" w:hAnsi="MS Gothic" w:cs="Arial" w:hint="eastAsia"/>
                    <w:color w:val="000000" w:themeColor="text1"/>
                    <w:sz w:val="40"/>
                    <w:szCs w:val="40"/>
                  </w:rPr>
                  <w:t>☒</w:t>
                </w:r>
              </w:p>
            </w:tc>
          </w:sdtContent>
        </w:sdt>
        <w:tc>
          <w:tcPr>
            <w:tcW w:w="4805" w:type="dxa"/>
          </w:tcPr>
          <w:p w14:paraId="6CFC850D" w14:textId="77777777" w:rsidR="00862BAB" w:rsidRPr="00BD25DA" w:rsidRDefault="00862BAB" w:rsidP="00862BAB">
            <w:pPr>
              <w:rPr>
                <w:rFonts w:eastAsia="Arial" w:cs="Arial"/>
              </w:rPr>
            </w:pPr>
            <w:r w:rsidRPr="00BD25DA">
              <w:rPr>
                <w:rFonts w:eastAsia="Arial" w:cs="Arial"/>
              </w:rPr>
              <w:t>Data from the 2021 Census of England and Wales, showed that less than half of the population (46.2%) described themselves as Christian. This is still the largest religious group in England and Wales.</w:t>
            </w:r>
          </w:p>
          <w:p w14:paraId="2E893F0E" w14:textId="77777777" w:rsidR="00862BAB" w:rsidRPr="00BD25DA" w:rsidRDefault="00862BAB" w:rsidP="00862BAB">
            <w:pPr>
              <w:rPr>
                <w:rFonts w:eastAsia="Arial" w:cs="Arial"/>
              </w:rPr>
            </w:pPr>
            <w:r w:rsidRPr="00BD25DA">
              <w:rPr>
                <w:rFonts w:eastAsia="Arial" w:cs="Arial"/>
              </w:rPr>
              <w:t>37.2% selected no religion. 6.5% were Muslim and 1.7% Hindu.</w:t>
            </w:r>
          </w:p>
          <w:p w14:paraId="2CB9BFB6" w14:textId="77777777" w:rsidR="00862BAB" w:rsidRDefault="00862BAB" w:rsidP="0013632F"/>
          <w:p w14:paraId="55E1AA08" w14:textId="545A714F" w:rsidR="0013632F" w:rsidRDefault="00AB29D4" w:rsidP="0013632F">
            <w:r>
              <w:t>Call and assessment dates could coincide with religious holidays</w:t>
            </w:r>
            <w:r w:rsidR="000F6FF5">
              <w:t>.</w:t>
            </w:r>
          </w:p>
          <w:p w14:paraId="6385A984" w14:textId="77777777" w:rsidR="00C46C85" w:rsidRDefault="00C46C85" w:rsidP="0013632F"/>
          <w:p w14:paraId="69D5FB8B" w14:textId="77777777" w:rsidR="00C46C85" w:rsidRDefault="00C46C85" w:rsidP="0013632F">
            <w:r>
              <w:lastRenderedPageBreak/>
              <w:t>Participants may be unable to take part in committee meetings or interviews due to religious observances.</w:t>
            </w:r>
          </w:p>
          <w:p w14:paraId="4FF94CB7" w14:textId="77777777" w:rsidR="00C46C85" w:rsidRDefault="00C46C85" w:rsidP="0013632F"/>
          <w:p w14:paraId="1C1A5A6B" w14:textId="511FE74D" w:rsidR="00C46C85" w:rsidRPr="0013632F" w:rsidRDefault="00C46C85" w:rsidP="0013632F"/>
        </w:tc>
        <w:tc>
          <w:tcPr>
            <w:tcW w:w="4587" w:type="dxa"/>
          </w:tcPr>
          <w:p w14:paraId="67100B07" w14:textId="77777777" w:rsidR="0013632F" w:rsidRDefault="00AB29D4" w:rsidP="0013632F">
            <w:r>
              <w:lastRenderedPageBreak/>
              <w:t>UKRI-BBSRC ensures that religious observances are considered as much as possible when timetabling major activities and major religious holidays were checked in the development of the call’s activities and timeline.</w:t>
            </w:r>
          </w:p>
          <w:p w14:paraId="3A0B6D60" w14:textId="607E4453" w:rsidR="00AB29D4" w:rsidRPr="0013632F" w:rsidRDefault="00AB29D4" w:rsidP="0013632F"/>
        </w:tc>
      </w:tr>
      <w:tr w:rsidR="0013632F" w:rsidRPr="0013632F" w14:paraId="41A1E9B5" w14:textId="77777777" w:rsidTr="00B32541">
        <w:trPr>
          <w:trHeight w:val="205"/>
        </w:trPr>
        <w:tc>
          <w:tcPr>
            <w:tcW w:w="2508" w:type="dxa"/>
            <w:shd w:val="clear" w:color="auto" w:fill="D1DEFD" w:themeFill="accent3" w:themeFillTint="33"/>
          </w:tcPr>
          <w:p w14:paraId="5119852C" w14:textId="77777777" w:rsidR="0013632F" w:rsidRPr="0013632F" w:rsidRDefault="0013632F" w:rsidP="0013632F">
            <w:r w:rsidRPr="0013632F">
              <w:t>Sexual orientation</w:t>
            </w:r>
          </w:p>
        </w:tc>
        <w:sdt>
          <w:sdtPr>
            <w:rPr>
              <w:rFonts w:cs="Arial"/>
              <w:color w:val="000000" w:themeColor="text1"/>
              <w:sz w:val="40"/>
              <w:szCs w:val="40"/>
            </w:rPr>
            <w:id w:val="1553354637"/>
            <w14:checkbox>
              <w14:checked w14:val="0"/>
              <w14:checkedState w14:val="2612" w14:font="MS Gothic"/>
              <w14:uncheckedState w14:val="2610" w14:font="MS Gothic"/>
            </w14:checkbox>
          </w:sdtPr>
          <w:sdtEndPr/>
          <w:sdtContent>
            <w:tc>
              <w:tcPr>
                <w:tcW w:w="1535" w:type="dxa"/>
              </w:tcPr>
              <w:p w14:paraId="5B16D8B3" w14:textId="158DF22B"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0931155"/>
            <w14:checkbox>
              <w14:checked w14:val="1"/>
              <w14:checkedState w14:val="2612" w14:font="MS Gothic"/>
              <w14:uncheckedState w14:val="2610" w14:font="MS Gothic"/>
            </w14:checkbox>
          </w:sdtPr>
          <w:sdtEndPr/>
          <w:sdtContent>
            <w:tc>
              <w:tcPr>
                <w:tcW w:w="1197" w:type="dxa"/>
              </w:tcPr>
              <w:p w14:paraId="16844490" w14:textId="65A38AEF" w:rsidR="0013632F" w:rsidRPr="0013632F" w:rsidRDefault="00384423" w:rsidP="0013632F">
                <w:r>
                  <w:rPr>
                    <w:rFonts w:ascii="MS Gothic" w:eastAsia="MS Gothic" w:hAnsi="MS Gothic" w:cs="Arial" w:hint="eastAsia"/>
                    <w:color w:val="000000" w:themeColor="text1"/>
                    <w:sz w:val="40"/>
                    <w:szCs w:val="40"/>
                  </w:rPr>
                  <w:t>☒</w:t>
                </w:r>
              </w:p>
            </w:tc>
          </w:sdtContent>
        </w:sdt>
        <w:tc>
          <w:tcPr>
            <w:tcW w:w="4805" w:type="dxa"/>
          </w:tcPr>
          <w:p w14:paraId="7DE6F37C" w14:textId="77777777" w:rsidR="00C152A5" w:rsidRPr="00BD25DA" w:rsidRDefault="00C152A5" w:rsidP="00C152A5">
            <w:pPr>
              <w:rPr>
                <w:rFonts w:eastAsia="Arial" w:cs="Arial"/>
              </w:rPr>
            </w:pPr>
            <w:r w:rsidRPr="00BD25DA">
              <w:rPr>
                <w:rFonts w:eastAsia="Arial" w:cs="Arial"/>
              </w:rPr>
              <w:t>According to the CIPD (2021) Good Work Index Report, whilst 85% of heterosexual workers reported ‘somewhat’ to ‘very good’ working relationships, this dropped to 80% for LGB+ workers.</w:t>
            </w:r>
          </w:p>
          <w:p w14:paraId="2017DBA7" w14:textId="77777777" w:rsidR="00C152A5" w:rsidRPr="00BD25DA" w:rsidRDefault="00C152A5" w:rsidP="00C152A5">
            <w:pPr>
              <w:rPr>
                <w:rFonts w:eastAsia="Arial" w:cs="Arial"/>
              </w:rPr>
            </w:pPr>
            <w:r w:rsidRPr="00BD25DA">
              <w:rPr>
                <w:rFonts w:eastAsia="Arial" w:cs="Arial"/>
              </w:rPr>
              <w:t xml:space="preserve">A higher proportion of LGB+ workers than heterosexual workers (16% vs 10%) reported feeling psychologically unsafe at work. </w:t>
            </w:r>
          </w:p>
          <w:p w14:paraId="38BC7C2C" w14:textId="77777777" w:rsidR="00C152A5" w:rsidRDefault="00C152A5" w:rsidP="0013632F"/>
          <w:p w14:paraId="6B47139D" w14:textId="1CB3CC97" w:rsidR="0013632F" w:rsidRPr="0013632F" w:rsidRDefault="00C46C85" w:rsidP="0013632F">
            <w:r>
              <w:t>There are no UKRI data with which to assess this characteristic currently.</w:t>
            </w:r>
          </w:p>
        </w:tc>
        <w:tc>
          <w:tcPr>
            <w:tcW w:w="4587" w:type="dxa"/>
          </w:tcPr>
          <w:p w14:paraId="20C85CEE" w14:textId="009F587C" w:rsidR="0013632F" w:rsidRPr="0013632F" w:rsidRDefault="00384423" w:rsidP="0013632F">
            <w:r>
              <w:rPr>
                <w:rFonts w:eastAsia="Arial" w:cs="Arial"/>
              </w:rPr>
              <w:t>E</w:t>
            </w:r>
            <w:r w:rsidRPr="00BD25DA">
              <w:rPr>
                <w:rFonts w:eastAsia="Arial" w:cs="Arial"/>
              </w:rPr>
              <w:t xml:space="preserve">nsure confidentiality and trust between applicants, </w:t>
            </w:r>
            <w:r>
              <w:rPr>
                <w:rFonts w:eastAsia="Arial" w:cs="Arial"/>
              </w:rPr>
              <w:t xml:space="preserve">panel </w:t>
            </w:r>
            <w:r w:rsidRPr="00BD25DA">
              <w:rPr>
                <w:rFonts w:eastAsia="Arial" w:cs="Arial"/>
              </w:rPr>
              <w:t>members and BBSRC staff at all times. Use inclusive language during meetings and within the application/call text. Disclosure of any characteristics is voluntary.</w:t>
            </w:r>
          </w:p>
        </w:tc>
      </w:tr>
      <w:tr w:rsidR="0013632F" w:rsidRPr="0013632F" w14:paraId="100D5274" w14:textId="77777777" w:rsidTr="00B32541">
        <w:trPr>
          <w:trHeight w:val="205"/>
        </w:trPr>
        <w:tc>
          <w:tcPr>
            <w:tcW w:w="2508" w:type="dxa"/>
            <w:shd w:val="clear" w:color="auto" w:fill="D1DEFD" w:themeFill="accent3" w:themeFillTint="33"/>
          </w:tcPr>
          <w:p w14:paraId="7B8F9706" w14:textId="77777777" w:rsidR="0013632F" w:rsidRPr="0013632F" w:rsidRDefault="0013632F" w:rsidP="0013632F">
            <w:r w:rsidRPr="0013632F">
              <w:t>Sex (gender)</w:t>
            </w:r>
          </w:p>
        </w:tc>
        <w:sdt>
          <w:sdtPr>
            <w:rPr>
              <w:rFonts w:cs="Arial"/>
              <w:color w:val="000000" w:themeColor="text1"/>
              <w:sz w:val="40"/>
              <w:szCs w:val="40"/>
            </w:rPr>
            <w:id w:val="-241098890"/>
            <w14:checkbox>
              <w14:checked w14:val="0"/>
              <w14:checkedState w14:val="2612" w14:font="MS Gothic"/>
              <w14:uncheckedState w14:val="2610" w14:font="MS Gothic"/>
            </w14:checkbox>
          </w:sdtPr>
          <w:sdtEndPr/>
          <w:sdtContent>
            <w:tc>
              <w:tcPr>
                <w:tcW w:w="1535" w:type="dxa"/>
              </w:tcPr>
              <w:p w14:paraId="4EA1ABF4" w14:textId="22A8A9A0"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065984897"/>
            <w14:checkbox>
              <w14:checked w14:val="1"/>
              <w14:checkedState w14:val="2612" w14:font="MS Gothic"/>
              <w14:uncheckedState w14:val="2610" w14:font="MS Gothic"/>
            </w14:checkbox>
          </w:sdtPr>
          <w:sdtEndPr/>
          <w:sdtContent>
            <w:tc>
              <w:tcPr>
                <w:tcW w:w="1197" w:type="dxa"/>
              </w:tcPr>
              <w:p w14:paraId="2B4E8356" w14:textId="3E8341B8" w:rsidR="0013632F" w:rsidRPr="0013632F" w:rsidRDefault="00C84D2B" w:rsidP="0013632F">
                <w:r>
                  <w:rPr>
                    <w:rFonts w:ascii="MS Gothic" w:eastAsia="MS Gothic" w:hAnsi="MS Gothic" w:cs="Arial" w:hint="eastAsia"/>
                    <w:color w:val="000000" w:themeColor="text1"/>
                    <w:sz w:val="40"/>
                    <w:szCs w:val="40"/>
                  </w:rPr>
                  <w:t>☒</w:t>
                </w:r>
              </w:p>
            </w:tc>
          </w:sdtContent>
        </w:sdt>
        <w:tc>
          <w:tcPr>
            <w:tcW w:w="4805" w:type="dxa"/>
          </w:tcPr>
          <w:p w14:paraId="07DC40A3" w14:textId="77777777" w:rsidR="0013632F" w:rsidRDefault="007D2037" w:rsidP="0013632F">
            <w:r>
              <w:t>Women are under-represented in HESA academic staff compared to the general labour market and also have lower application rates, according to UKRI diversity data, compared to the HESA baseline. This appears to particularly be the case for BBSRC awards where on average, 26% of applicants are women compared to the HESA benchmark of 40%. Despite this under-representation of women at the application stage, there appears to be no difference in the award rate (30%) between men and women.</w:t>
            </w:r>
          </w:p>
          <w:p w14:paraId="23D886AD" w14:textId="77777777" w:rsidR="00886946" w:rsidRDefault="00886946" w:rsidP="0013632F"/>
          <w:p w14:paraId="7E114FF5" w14:textId="0413A51D" w:rsidR="00886946" w:rsidRPr="0013632F" w:rsidRDefault="00E45A38" w:rsidP="0013632F">
            <w:r>
              <w:t xml:space="preserve">Caring responsibilities fall disproportionately on women and therefore this is likely to </w:t>
            </w:r>
            <w:r w:rsidR="00AB18EC">
              <w:t xml:space="preserve">impact </w:t>
            </w:r>
            <w:r w:rsidR="005C70CD">
              <w:t>women more</w:t>
            </w:r>
            <w:r>
              <w:t>.</w:t>
            </w:r>
          </w:p>
        </w:tc>
        <w:tc>
          <w:tcPr>
            <w:tcW w:w="4587" w:type="dxa"/>
          </w:tcPr>
          <w:p w14:paraId="6F2FB0E8" w14:textId="142308F9" w:rsidR="0013632F" w:rsidRDefault="005C70CD" w:rsidP="0013632F">
            <w:r>
              <w:t>UKRI-BBSRC ensures that school holidays are considered where possible when timetabling discussion boards and virtual meetings</w:t>
            </w:r>
            <w:r w:rsidR="00623617">
              <w:t>, since this can disproportionately affect</w:t>
            </w:r>
            <w:r w:rsidR="00D209E2">
              <w:t xml:space="preserve"> participation of women. </w:t>
            </w:r>
          </w:p>
          <w:p w14:paraId="634EF23D" w14:textId="77777777" w:rsidR="005C70CD" w:rsidRDefault="005C70CD" w:rsidP="0013632F"/>
          <w:p w14:paraId="31822232" w14:textId="77777777" w:rsidR="005C70CD" w:rsidRDefault="005C70CD" w:rsidP="0013632F">
            <w:r>
              <w:t xml:space="preserve">Expectations and dates for all aspects of the process are set out as far in advance as possible, allowing for preparation for participants to cover any caring responsibilities. </w:t>
            </w:r>
          </w:p>
          <w:p w14:paraId="47AD97B0" w14:textId="77777777" w:rsidR="005C70CD" w:rsidRDefault="005C70CD" w:rsidP="0013632F"/>
          <w:p w14:paraId="0B7C46B4" w14:textId="77777777" w:rsidR="005C70CD" w:rsidRDefault="005C70CD" w:rsidP="0013632F">
            <w:r>
              <w:t>Where possible, UKRI-BBSRC aims to schedule meetings in standard working hours.</w:t>
            </w:r>
          </w:p>
          <w:p w14:paraId="5B325EE1" w14:textId="77777777" w:rsidR="005C70CD" w:rsidRDefault="005C70CD" w:rsidP="0013632F"/>
          <w:p w14:paraId="6A038ECC" w14:textId="77777777" w:rsidR="005514AE" w:rsidRDefault="005C70CD" w:rsidP="0013632F">
            <w:r>
              <w:t xml:space="preserve">UKRI-BBSRC will pay the cost of additional caring responsibilities incurred while on UKRI-BBSRC business. </w:t>
            </w:r>
          </w:p>
          <w:p w14:paraId="79356269" w14:textId="7C29C8A6" w:rsidR="005C70CD" w:rsidRPr="0013632F" w:rsidRDefault="005C70CD" w:rsidP="0013632F">
            <w:r>
              <w:lastRenderedPageBreak/>
              <w:t>UKRI-BBSRC will monitor the diversity of panel members to ensure representation of the community and a diversity of opinion.</w:t>
            </w:r>
          </w:p>
        </w:tc>
      </w:tr>
    </w:tbl>
    <w:p w14:paraId="2C982E3D" w14:textId="77777777" w:rsidR="0013632F" w:rsidRDefault="0013632F">
      <w:pPr>
        <w:rPr>
          <w:bCs/>
          <w:color w:val="auto"/>
        </w:rPr>
      </w:pPr>
    </w:p>
    <w:p w14:paraId="55646E2D" w14:textId="4C9C3145" w:rsidR="007A2B49" w:rsidRPr="00341B6C" w:rsidRDefault="0013632F" w:rsidP="00341B6C">
      <w:pPr>
        <w:rPr>
          <w:bCs/>
          <w:color w:val="auto"/>
        </w:rPr>
      </w:pPr>
      <w:r>
        <w:rPr>
          <w:bCs/>
          <w:color w:val="auto"/>
        </w:rPr>
        <w:t>Continued below…</w:t>
      </w:r>
      <w:r w:rsidR="00493D72">
        <w:rPr>
          <w:bCs/>
          <w:color w:val="auto"/>
        </w:rPr>
        <w:br w:type="page"/>
      </w:r>
    </w:p>
    <w:p w14:paraId="037143E6" w14:textId="6D8A0547" w:rsidR="007A2B49" w:rsidRDefault="00F105AB" w:rsidP="00F105AB">
      <w:pPr>
        <w:pStyle w:val="Heading2"/>
      </w:pPr>
      <w:bookmarkStart w:id="7" w:name="_Toc126841209"/>
      <w:r>
        <w:lastRenderedPageBreak/>
        <w:t>Additional characteristics</w:t>
      </w:r>
      <w:bookmarkEnd w:id="7"/>
    </w:p>
    <w:p w14:paraId="4B9B1735" w14:textId="77777777" w:rsidR="007A2B49" w:rsidRDefault="007A2B49" w:rsidP="008E3656">
      <w:pPr>
        <w:rPr>
          <w:bCs/>
          <w:color w:val="auto"/>
        </w:rPr>
      </w:pPr>
    </w:p>
    <w:tbl>
      <w:tblPr>
        <w:tblStyle w:val="TableGrid"/>
        <w:tblW w:w="14737" w:type="dxa"/>
        <w:tblLayout w:type="fixed"/>
        <w:tblLook w:val="04A0" w:firstRow="1" w:lastRow="0" w:firstColumn="1" w:lastColumn="0" w:noHBand="0" w:noVBand="1"/>
      </w:tblPr>
      <w:tblGrid>
        <w:gridCol w:w="2557"/>
        <w:gridCol w:w="1565"/>
        <w:gridCol w:w="1138"/>
        <w:gridCol w:w="4981"/>
        <w:gridCol w:w="4496"/>
      </w:tblGrid>
      <w:tr w:rsidR="007C4B67" w:rsidRPr="007C4B67" w14:paraId="37501411" w14:textId="77777777" w:rsidTr="008E3B5B">
        <w:trPr>
          <w:trHeight w:val="868"/>
        </w:trPr>
        <w:tc>
          <w:tcPr>
            <w:tcW w:w="2557" w:type="dxa"/>
            <w:vMerge w:val="restart"/>
            <w:shd w:val="clear" w:color="auto" w:fill="D1DEFD" w:themeFill="accent3" w:themeFillTint="33"/>
          </w:tcPr>
          <w:p w14:paraId="5AA50261" w14:textId="77777777" w:rsidR="007C4B67" w:rsidRPr="00623DB3" w:rsidRDefault="007C4B67" w:rsidP="00623DB3">
            <w:pPr>
              <w:rPr>
                <w:b/>
                <w:bCs/>
              </w:rPr>
            </w:pPr>
            <w:r w:rsidRPr="00623DB3">
              <w:rPr>
                <w:b/>
                <w:bCs/>
              </w:rPr>
              <w:t xml:space="preserve">Additional characteristics  </w:t>
            </w:r>
          </w:p>
        </w:tc>
        <w:tc>
          <w:tcPr>
            <w:tcW w:w="1565" w:type="dxa"/>
            <w:shd w:val="clear" w:color="auto" w:fill="D1DEFD" w:themeFill="accent3" w:themeFillTint="33"/>
          </w:tcPr>
          <w:p w14:paraId="075917D6" w14:textId="77777777" w:rsidR="007C4B67" w:rsidRPr="00623DB3" w:rsidRDefault="007C4B67" w:rsidP="00623DB3">
            <w:pPr>
              <w:rPr>
                <w:b/>
                <w:bCs/>
              </w:rPr>
            </w:pPr>
            <w:r w:rsidRPr="00623DB3">
              <w:rPr>
                <w:b/>
                <w:bCs/>
              </w:rPr>
              <w:t>Positive impact or opportunity to benefit</w:t>
            </w:r>
          </w:p>
        </w:tc>
        <w:tc>
          <w:tcPr>
            <w:tcW w:w="1138" w:type="dxa"/>
            <w:shd w:val="clear" w:color="auto" w:fill="D1DEFD" w:themeFill="accent3" w:themeFillTint="33"/>
          </w:tcPr>
          <w:p w14:paraId="7FF422FD" w14:textId="77777777" w:rsidR="007C4B67" w:rsidRPr="00623DB3" w:rsidRDefault="007C4B67" w:rsidP="00623DB3">
            <w:pPr>
              <w:rPr>
                <w:b/>
                <w:bCs/>
              </w:rPr>
            </w:pPr>
            <w:r w:rsidRPr="00623DB3">
              <w:rPr>
                <w:b/>
                <w:bCs/>
              </w:rPr>
              <w:t xml:space="preserve">Negative impact </w:t>
            </w:r>
          </w:p>
        </w:tc>
        <w:tc>
          <w:tcPr>
            <w:tcW w:w="4981" w:type="dxa"/>
            <w:vMerge w:val="restart"/>
            <w:shd w:val="clear" w:color="auto" w:fill="D1DEFD" w:themeFill="accent3" w:themeFillTint="33"/>
          </w:tcPr>
          <w:p w14:paraId="53EF313B" w14:textId="77777777" w:rsidR="007C4B67" w:rsidRPr="00623DB3" w:rsidRDefault="007C4B67" w:rsidP="00623DB3">
            <w:pPr>
              <w:rPr>
                <w:b/>
                <w:bCs/>
              </w:rPr>
            </w:pPr>
            <w:r w:rsidRPr="00623DB3">
              <w:rPr>
                <w:b/>
                <w:bCs/>
              </w:rPr>
              <w:t>Please explain the impact including details of any evidence/data used</w:t>
            </w:r>
          </w:p>
        </w:tc>
        <w:tc>
          <w:tcPr>
            <w:tcW w:w="4496" w:type="dxa"/>
            <w:vMerge w:val="restart"/>
            <w:shd w:val="clear" w:color="auto" w:fill="D1DEFD" w:themeFill="accent3" w:themeFillTint="33"/>
          </w:tcPr>
          <w:p w14:paraId="1A407EE0" w14:textId="77777777" w:rsidR="007C4B67" w:rsidRPr="00623DB3" w:rsidRDefault="007C4B67" w:rsidP="00623DB3">
            <w:pPr>
              <w:rPr>
                <w:b/>
                <w:bCs/>
              </w:rPr>
            </w:pPr>
            <w:r w:rsidRPr="00623DB3">
              <w:rPr>
                <w:b/>
                <w:bCs/>
              </w:rPr>
              <w:t>Detail actions taken/ that will be taken to increase positive or reduce negative impact (or why action is not possible).</w:t>
            </w:r>
          </w:p>
        </w:tc>
      </w:tr>
      <w:tr w:rsidR="007C4B67" w:rsidRPr="007C4B67" w14:paraId="5DBC3E51" w14:textId="77777777" w:rsidTr="008E3B5B">
        <w:trPr>
          <w:trHeight w:val="868"/>
        </w:trPr>
        <w:tc>
          <w:tcPr>
            <w:tcW w:w="2557" w:type="dxa"/>
            <w:vMerge/>
            <w:shd w:val="clear" w:color="auto" w:fill="D1DEFD" w:themeFill="accent3" w:themeFillTint="33"/>
          </w:tcPr>
          <w:p w14:paraId="161EAEF7" w14:textId="77777777" w:rsidR="007C4B67" w:rsidRPr="007A2B49" w:rsidRDefault="007C4B67" w:rsidP="007C4B67">
            <w:pPr>
              <w:rPr>
                <w:color w:val="auto"/>
              </w:rPr>
            </w:pPr>
          </w:p>
        </w:tc>
        <w:tc>
          <w:tcPr>
            <w:tcW w:w="2703" w:type="dxa"/>
            <w:gridSpan w:val="2"/>
            <w:shd w:val="clear" w:color="auto" w:fill="D1DEFD" w:themeFill="accent3" w:themeFillTint="33"/>
          </w:tcPr>
          <w:p w14:paraId="322AE497" w14:textId="77777777" w:rsidR="007C4B67" w:rsidRPr="00623DB3" w:rsidRDefault="007C4B67" w:rsidP="00623DB3">
            <w:pPr>
              <w:rPr>
                <w:b/>
                <w:bCs/>
              </w:rPr>
            </w:pPr>
            <w:r w:rsidRPr="00623DB3">
              <w:rPr>
                <w:b/>
                <w:bCs/>
              </w:rPr>
              <w:t>Leave blank if there is no impact or unknown</w:t>
            </w:r>
          </w:p>
        </w:tc>
        <w:tc>
          <w:tcPr>
            <w:tcW w:w="4981" w:type="dxa"/>
            <w:vMerge/>
            <w:shd w:val="clear" w:color="auto" w:fill="BAFFF2" w:themeFill="accent1" w:themeFillTint="33"/>
          </w:tcPr>
          <w:p w14:paraId="32904ACD" w14:textId="77777777" w:rsidR="007C4B67" w:rsidRPr="007C4B67" w:rsidRDefault="007C4B67" w:rsidP="007C4B67">
            <w:pPr>
              <w:rPr>
                <w:b/>
                <w:bCs/>
                <w:color w:val="auto"/>
              </w:rPr>
            </w:pPr>
          </w:p>
        </w:tc>
        <w:tc>
          <w:tcPr>
            <w:tcW w:w="4496" w:type="dxa"/>
            <w:vMerge/>
            <w:shd w:val="clear" w:color="auto" w:fill="BAFFF2" w:themeFill="accent1" w:themeFillTint="33"/>
          </w:tcPr>
          <w:p w14:paraId="64925B0F" w14:textId="77777777" w:rsidR="007C4B67" w:rsidRPr="007C4B67" w:rsidRDefault="007C4B67" w:rsidP="007C4B67">
            <w:pPr>
              <w:rPr>
                <w:b/>
                <w:bCs/>
                <w:color w:val="auto"/>
              </w:rPr>
            </w:pPr>
          </w:p>
        </w:tc>
      </w:tr>
      <w:tr w:rsidR="00E904DF" w:rsidRPr="007C4B67" w14:paraId="50C298AA" w14:textId="77777777" w:rsidTr="008E3B5B">
        <w:trPr>
          <w:trHeight w:val="630"/>
        </w:trPr>
        <w:tc>
          <w:tcPr>
            <w:tcW w:w="2557" w:type="dxa"/>
            <w:shd w:val="clear" w:color="auto" w:fill="D1DEFD" w:themeFill="accent3" w:themeFillTint="33"/>
          </w:tcPr>
          <w:p w14:paraId="19AF8A89" w14:textId="20D40683" w:rsidR="00E904DF" w:rsidRPr="007A2B49" w:rsidRDefault="00E904DF" w:rsidP="00623DB3">
            <w:r w:rsidRPr="007A2B49">
              <w:t xml:space="preserve">Geographical location </w:t>
            </w:r>
            <w:r w:rsidR="00512F2D">
              <w:t xml:space="preserve">and place </w:t>
            </w:r>
            <w:r w:rsidRPr="007A2B49">
              <w:t>(consider UK and international offices)</w:t>
            </w:r>
          </w:p>
        </w:tc>
        <w:sdt>
          <w:sdtPr>
            <w:rPr>
              <w:rFonts w:cs="Arial"/>
              <w:color w:val="000000" w:themeColor="text1"/>
              <w:sz w:val="40"/>
              <w:szCs w:val="40"/>
            </w:rPr>
            <w:id w:val="-765302296"/>
            <w14:checkbox>
              <w14:checked w14:val="0"/>
              <w14:checkedState w14:val="2612" w14:font="MS Gothic"/>
              <w14:uncheckedState w14:val="2610" w14:font="MS Gothic"/>
            </w14:checkbox>
          </w:sdtPr>
          <w:sdtEndPr/>
          <w:sdtContent>
            <w:tc>
              <w:tcPr>
                <w:tcW w:w="1565" w:type="dxa"/>
              </w:tcPr>
              <w:p w14:paraId="7E626CD4" w14:textId="1481FE36"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072852359"/>
            <w14:checkbox>
              <w14:checked w14:val="1"/>
              <w14:checkedState w14:val="2612" w14:font="MS Gothic"/>
              <w14:uncheckedState w14:val="2610" w14:font="MS Gothic"/>
            </w14:checkbox>
          </w:sdtPr>
          <w:sdtEndPr/>
          <w:sdtContent>
            <w:tc>
              <w:tcPr>
                <w:tcW w:w="1138" w:type="dxa"/>
              </w:tcPr>
              <w:p w14:paraId="20F5F0A9" w14:textId="696FFCB9" w:rsidR="00E904DF" w:rsidRPr="00E904DF" w:rsidRDefault="00C35170"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C45B69C" w14:textId="77777777" w:rsidR="00E904DF" w:rsidRDefault="0005772A" w:rsidP="00E904DF">
            <w:r>
              <w:t>Bringing Panellists from a variety of geographical locations together or a physical meeting can represent a barrier to attendance.</w:t>
            </w:r>
          </w:p>
          <w:p w14:paraId="320CA652" w14:textId="77777777" w:rsidR="00C35170" w:rsidRDefault="00C35170" w:rsidP="00E904DF"/>
          <w:p w14:paraId="27D367AC" w14:textId="77777777" w:rsidR="00C35170" w:rsidRDefault="00C35170" w:rsidP="00E904DF">
            <w:r>
              <w:t xml:space="preserve">The launch webinar and networking event may also bring together members of the community from across the UK and potentially internationally, which could represent a barrier to attendance. </w:t>
            </w:r>
          </w:p>
          <w:p w14:paraId="626FDD46" w14:textId="77777777" w:rsidR="001308AE" w:rsidRDefault="001308AE" w:rsidP="00E904DF"/>
          <w:p w14:paraId="161E4FC0" w14:textId="1D3BA272" w:rsidR="001308AE" w:rsidRPr="007C4B67" w:rsidRDefault="001308AE" w:rsidP="00E904DF">
            <w:pPr>
              <w:rPr>
                <w:bCs/>
                <w:color w:val="auto"/>
              </w:rPr>
            </w:pPr>
            <w:r w:rsidRPr="00BD25DA">
              <w:rPr>
                <w:rFonts w:eastAsia="Arial" w:cs="Arial"/>
                <w:bCs/>
              </w:rPr>
              <w:t xml:space="preserve">Applicants </w:t>
            </w:r>
            <w:r w:rsidR="0020080A">
              <w:rPr>
                <w:rFonts w:eastAsia="Arial" w:cs="Arial"/>
                <w:bCs/>
              </w:rPr>
              <w:t xml:space="preserve">and panel members </w:t>
            </w:r>
            <w:r w:rsidRPr="00BD25DA">
              <w:rPr>
                <w:rFonts w:eastAsia="Arial" w:cs="Arial"/>
                <w:bCs/>
              </w:rPr>
              <w:t xml:space="preserve">may be living in areas of the UK with less efficient internet infrastructure (digital/bandwidth inequality), such as rural areas. This could affect their ability to engage virtually during meetings and with the application </w:t>
            </w:r>
            <w:r w:rsidR="0020080A">
              <w:rPr>
                <w:rFonts w:eastAsia="Arial" w:cs="Arial"/>
                <w:bCs/>
              </w:rPr>
              <w:t xml:space="preserve">and assessment </w:t>
            </w:r>
            <w:r w:rsidRPr="00BD25DA">
              <w:rPr>
                <w:rFonts w:eastAsia="Arial" w:cs="Arial"/>
                <w:bCs/>
              </w:rPr>
              <w:t>process</w:t>
            </w:r>
          </w:p>
        </w:tc>
        <w:tc>
          <w:tcPr>
            <w:tcW w:w="4496" w:type="dxa"/>
          </w:tcPr>
          <w:p w14:paraId="04FD52B2" w14:textId="77777777" w:rsidR="00E904DF" w:rsidRDefault="00926212" w:rsidP="00E904DF">
            <w:r>
              <w:t>Use a virtual meeting format and discussion boards in line with UKRIs Virtual-First Policy</w:t>
            </w:r>
          </w:p>
          <w:p w14:paraId="6F2397D8" w14:textId="77777777" w:rsidR="00895DDA" w:rsidRDefault="00895DDA" w:rsidP="00E904DF"/>
          <w:p w14:paraId="23E62FC0" w14:textId="186A67F0" w:rsidR="00895DDA" w:rsidRPr="007C4B67" w:rsidRDefault="00895DDA" w:rsidP="00E904DF">
            <w:pPr>
              <w:rPr>
                <w:bCs/>
                <w:color w:val="auto"/>
              </w:rPr>
            </w:pPr>
            <w:r>
              <w:rPr>
                <w:rFonts w:eastAsia="Arial" w:cs="Arial"/>
                <w:bCs/>
              </w:rPr>
              <w:t>E</w:t>
            </w:r>
            <w:r w:rsidRPr="00BD25DA">
              <w:rPr>
                <w:rFonts w:eastAsia="Arial" w:cs="Arial"/>
                <w:bCs/>
              </w:rPr>
              <w:t xml:space="preserve">nsure the application process </w:t>
            </w:r>
            <w:r w:rsidR="00F864B3">
              <w:rPr>
                <w:rFonts w:eastAsia="Arial" w:cs="Arial"/>
                <w:bCs/>
              </w:rPr>
              <w:t xml:space="preserve">and assessment process </w:t>
            </w:r>
            <w:r w:rsidRPr="00BD25DA">
              <w:rPr>
                <w:rFonts w:eastAsia="Arial" w:cs="Arial"/>
                <w:bCs/>
              </w:rPr>
              <w:t xml:space="preserve">does not require any programmes or software that depend on fast broadband. </w:t>
            </w:r>
          </w:p>
        </w:tc>
      </w:tr>
      <w:tr w:rsidR="00E904DF" w:rsidRPr="007C4B67" w14:paraId="0258738E" w14:textId="77777777" w:rsidTr="008E3B5B">
        <w:trPr>
          <w:trHeight w:val="382"/>
        </w:trPr>
        <w:tc>
          <w:tcPr>
            <w:tcW w:w="2557" w:type="dxa"/>
            <w:shd w:val="clear" w:color="auto" w:fill="D1DEFD" w:themeFill="accent3" w:themeFillTint="33"/>
          </w:tcPr>
          <w:p w14:paraId="54678946" w14:textId="77777777" w:rsidR="00E904DF" w:rsidRPr="007A2B49" w:rsidRDefault="00E904DF" w:rsidP="00623DB3">
            <w:r w:rsidRPr="007A2B49">
              <w:t>Socio-economic status</w:t>
            </w:r>
          </w:p>
        </w:tc>
        <w:sdt>
          <w:sdtPr>
            <w:rPr>
              <w:rFonts w:cs="Arial"/>
              <w:color w:val="000000" w:themeColor="text1"/>
              <w:sz w:val="40"/>
              <w:szCs w:val="40"/>
            </w:rPr>
            <w:id w:val="708148370"/>
            <w14:checkbox>
              <w14:checked w14:val="0"/>
              <w14:checkedState w14:val="2612" w14:font="MS Gothic"/>
              <w14:uncheckedState w14:val="2610" w14:font="MS Gothic"/>
            </w14:checkbox>
          </w:sdtPr>
          <w:sdtEndPr/>
          <w:sdtContent>
            <w:tc>
              <w:tcPr>
                <w:tcW w:w="1565" w:type="dxa"/>
              </w:tcPr>
              <w:p w14:paraId="230A2244" w14:textId="05B285F7"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24245034"/>
            <w14:checkbox>
              <w14:checked w14:val="1"/>
              <w14:checkedState w14:val="2612" w14:font="MS Gothic"/>
              <w14:uncheckedState w14:val="2610" w14:font="MS Gothic"/>
            </w14:checkbox>
          </w:sdtPr>
          <w:sdtEndPr/>
          <w:sdtContent>
            <w:tc>
              <w:tcPr>
                <w:tcW w:w="1138" w:type="dxa"/>
              </w:tcPr>
              <w:p w14:paraId="56D14A64" w14:textId="64643095" w:rsidR="00E904DF" w:rsidRPr="00E904DF" w:rsidRDefault="00895DDA"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361FC74E" w14:textId="1E6303F2" w:rsidR="00E904DF" w:rsidRPr="007C4B67" w:rsidRDefault="00410E33" w:rsidP="00E904DF">
            <w:pPr>
              <w:rPr>
                <w:bCs/>
                <w:color w:val="auto"/>
              </w:rPr>
            </w:pPr>
            <w:r w:rsidRPr="00BD25DA">
              <w:rPr>
                <w:rFonts w:eastAsia="Arial" w:cs="Arial"/>
                <w:bCs/>
              </w:rPr>
              <w:t xml:space="preserve">This may interact with geographic location, caring responsibilities and other protected characteristics. </w:t>
            </w:r>
            <w:r w:rsidR="00F864B3">
              <w:rPr>
                <w:rFonts w:eastAsia="Arial" w:cs="Arial"/>
                <w:bCs/>
              </w:rPr>
              <w:t>Socio-economic status</w:t>
            </w:r>
            <w:r w:rsidRPr="00BD25DA">
              <w:rPr>
                <w:rFonts w:eastAsia="Arial" w:cs="Arial"/>
                <w:bCs/>
              </w:rPr>
              <w:t xml:space="preserve"> may also affect their remote working abilities due to reliance on effective internet infrastructure</w:t>
            </w:r>
          </w:p>
        </w:tc>
        <w:tc>
          <w:tcPr>
            <w:tcW w:w="4496" w:type="dxa"/>
          </w:tcPr>
          <w:p w14:paraId="3A4157BE" w14:textId="77777777" w:rsidR="00E904DF" w:rsidRDefault="00F864B3" w:rsidP="00E904DF">
            <w:pPr>
              <w:rPr>
                <w:rFonts w:eastAsia="Arial" w:cs="Arial"/>
                <w:bCs/>
              </w:rPr>
            </w:pPr>
            <w:r>
              <w:rPr>
                <w:rFonts w:eastAsia="Arial" w:cs="Arial"/>
                <w:bCs/>
              </w:rPr>
              <w:t>E</w:t>
            </w:r>
            <w:r w:rsidRPr="00BD25DA">
              <w:rPr>
                <w:rFonts w:eastAsia="Arial" w:cs="Arial"/>
                <w:bCs/>
              </w:rPr>
              <w:t xml:space="preserve">nsure the application process does not require any programmes or software that depend on fast broadband. </w:t>
            </w:r>
          </w:p>
          <w:p w14:paraId="7C2DC12A" w14:textId="34095F4E" w:rsidR="00DF6A17" w:rsidRPr="007C4B67" w:rsidRDefault="00DF6A17" w:rsidP="00E904DF">
            <w:pPr>
              <w:rPr>
                <w:bCs/>
                <w:color w:val="auto"/>
              </w:rPr>
            </w:pPr>
          </w:p>
        </w:tc>
      </w:tr>
      <w:tr w:rsidR="00E904DF" w:rsidRPr="007C4B67" w14:paraId="6D8F83A7" w14:textId="77777777" w:rsidTr="008E3B5B">
        <w:trPr>
          <w:trHeight w:val="166"/>
        </w:trPr>
        <w:tc>
          <w:tcPr>
            <w:tcW w:w="2557" w:type="dxa"/>
            <w:shd w:val="clear" w:color="auto" w:fill="D1DEFD" w:themeFill="accent3" w:themeFillTint="33"/>
          </w:tcPr>
          <w:p w14:paraId="1655B57A" w14:textId="77777777" w:rsidR="00E904DF" w:rsidRPr="007A2B49" w:rsidRDefault="00E904DF" w:rsidP="00623DB3">
            <w:r w:rsidRPr="007A2B49">
              <w:t>Education background</w:t>
            </w:r>
          </w:p>
        </w:tc>
        <w:sdt>
          <w:sdtPr>
            <w:rPr>
              <w:rFonts w:cs="Arial"/>
              <w:color w:val="000000" w:themeColor="text1"/>
              <w:sz w:val="40"/>
              <w:szCs w:val="40"/>
            </w:rPr>
            <w:id w:val="-1891564080"/>
            <w14:checkbox>
              <w14:checked w14:val="0"/>
              <w14:checkedState w14:val="2612" w14:font="MS Gothic"/>
              <w14:uncheckedState w14:val="2610" w14:font="MS Gothic"/>
            </w14:checkbox>
          </w:sdtPr>
          <w:sdtEndPr/>
          <w:sdtContent>
            <w:tc>
              <w:tcPr>
                <w:tcW w:w="1565" w:type="dxa"/>
              </w:tcPr>
              <w:p w14:paraId="711FC736" w14:textId="69719F37"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01943329"/>
            <w14:checkbox>
              <w14:checked w14:val="1"/>
              <w14:checkedState w14:val="2612" w14:font="MS Gothic"/>
              <w14:uncheckedState w14:val="2610" w14:font="MS Gothic"/>
            </w14:checkbox>
          </w:sdtPr>
          <w:sdtEndPr/>
          <w:sdtContent>
            <w:tc>
              <w:tcPr>
                <w:tcW w:w="1138" w:type="dxa"/>
              </w:tcPr>
              <w:p w14:paraId="6B2A54CE" w14:textId="35E39086" w:rsidR="00E904DF" w:rsidRPr="00E904DF" w:rsidRDefault="001B3F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52045C25" w14:textId="36221116" w:rsidR="00E904DF" w:rsidRPr="007C4B67" w:rsidRDefault="001B3FDF" w:rsidP="00E904DF">
            <w:pPr>
              <w:rPr>
                <w:bCs/>
                <w:color w:val="auto"/>
              </w:rPr>
            </w:pPr>
            <w:r w:rsidRPr="00BD25DA">
              <w:rPr>
                <w:rFonts w:eastAsia="Arial" w:cs="Arial"/>
                <w:bCs/>
              </w:rPr>
              <w:t>Applicants</w:t>
            </w:r>
            <w:r>
              <w:rPr>
                <w:rFonts w:eastAsia="Arial" w:cs="Arial"/>
                <w:bCs/>
              </w:rPr>
              <w:t xml:space="preserve"> and members of BBSRC funded networks</w:t>
            </w:r>
            <w:r w:rsidRPr="00BD25DA">
              <w:rPr>
                <w:rFonts w:eastAsia="Arial" w:cs="Arial"/>
                <w:bCs/>
              </w:rPr>
              <w:t xml:space="preserve"> may have varying education backgrounds.</w:t>
            </w:r>
          </w:p>
        </w:tc>
        <w:tc>
          <w:tcPr>
            <w:tcW w:w="4496" w:type="dxa"/>
          </w:tcPr>
          <w:p w14:paraId="0C4FD448" w14:textId="76D0FD2A" w:rsidR="00E904DF" w:rsidRPr="007C4B67" w:rsidRDefault="00F80302" w:rsidP="00E904DF">
            <w:pPr>
              <w:rPr>
                <w:b/>
                <w:bCs/>
                <w:color w:val="auto"/>
              </w:rPr>
            </w:pPr>
            <w:r w:rsidRPr="00BD25DA">
              <w:rPr>
                <w:rFonts w:eastAsia="Arial" w:cs="Arial"/>
              </w:rPr>
              <w:t xml:space="preserve">BBSRC will avoid using unnecessary jargon and academic language within the application process. Application assessment will be based on experience, </w:t>
            </w:r>
            <w:r w:rsidRPr="00BD25DA">
              <w:rPr>
                <w:rFonts w:eastAsia="Arial" w:cs="Arial"/>
              </w:rPr>
              <w:lastRenderedPageBreak/>
              <w:t>skills and knowledge, with no requirements for specific qualifications.</w:t>
            </w:r>
          </w:p>
        </w:tc>
      </w:tr>
      <w:tr w:rsidR="00E904DF" w:rsidRPr="007C4B67" w14:paraId="6B256C9A" w14:textId="77777777" w:rsidTr="008E3B5B">
        <w:trPr>
          <w:trHeight w:val="166"/>
        </w:trPr>
        <w:tc>
          <w:tcPr>
            <w:tcW w:w="2557" w:type="dxa"/>
            <w:shd w:val="clear" w:color="auto" w:fill="D1DEFD" w:themeFill="accent3" w:themeFillTint="33"/>
          </w:tcPr>
          <w:p w14:paraId="35BA9208" w14:textId="77777777" w:rsidR="00E904DF" w:rsidRPr="007A2B49" w:rsidRDefault="00E904DF" w:rsidP="00623DB3">
            <w:r w:rsidRPr="007A2B49">
              <w:lastRenderedPageBreak/>
              <w:t>Parent/guardian responsibilities</w:t>
            </w:r>
          </w:p>
        </w:tc>
        <w:sdt>
          <w:sdtPr>
            <w:rPr>
              <w:rFonts w:cs="Arial"/>
              <w:color w:val="000000" w:themeColor="text1"/>
              <w:sz w:val="40"/>
              <w:szCs w:val="40"/>
            </w:rPr>
            <w:id w:val="1317529040"/>
            <w14:checkbox>
              <w14:checked w14:val="0"/>
              <w14:checkedState w14:val="2612" w14:font="MS Gothic"/>
              <w14:uncheckedState w14:val="2610" w14:font="MS Gothic"/>
            </w14:checkbox>
          </w:sdtPr>
          <w:sdtEndPr/>
          <w:sdtContent>
            <w:tc>
              <w:tcPr>
                <w:tcW w:w="1565" w:type="dxa"/>
              </w:tcPr>
              <w:p w14:paraId="51811A31" w14:textId="48D3E5FA"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250421737"/>
            <w14:checkbox>
              <w14:checked w14:val="1"/>
              <w14:checkedState w14:val="2612" w14:font="MS Gothic"/>
              <w14:uncheckedState w14:val="2610" w14:font="MS Gothic"/>
            </w14:checkbox>
          </w:sdtPr>
          <w:sdtEndPr/>
          <w:sdtContent>
            <w:tc>
              <w:tcPr>
                <w:tcW w:w="1138" w:type="dxa"/>
              </w:tcPr>
              <w:p w14:paraId="60D6A91C" w14:textId="060E4230" w:rsidR="00E904DF" w:rsidRPr="00E904DF" w:rsidRDefault="00C35170"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262272D0" w14:textId="32B1801C" w:rsidR="00E904DF" w:rsidRPr="007C4B67" w:rsidRDefault="00926212" w:rsidP="00E904DF">
            <w:pPr>
              <w:rPr>
                <w:bCs/>
                <w:color w:val="auto"/>
              </w:rPr>
            </w:pPr>
            <w:r>
              <w:t>People with parental responsibilities may have less time to prepare a proposal, participate in reviewing and/or attend a panel meeting. Caring responsibilities fall disproportionately on women and therefore this is likely to interact with gender.</w:t>
            </w:r>
          </w:p>
        </w:tc>
        <w:tc>
          <w:tcPr>
            <w:tcW w:w="4496" w:type="dxa"/>
          </w:tcPr>
          <w:p w14:paraId="04CCBE9C" w14:textId="77777777" w:rsidR="00926212" w:rsidRDefault="00926212" w:rsidP="00E904DF">
            <w:r>
              <w:t xml:space="preserve">UKRI-BBSRC ensures that school holidays are considered where possible when timetabling major activities as part of the funding opportunity and assessment process. </w:t>
            </w:r>
          </w:p>
          <w:p w14:paraId="35F17097" w14:textId="77777777" w:rsidR="00BA7117" w:rsidRDefault="00BA7117" w:rsidP="00E904DF"/>
          <w:p w14:paraId="14159F02" w14:textId="77777777" w:rsidR="00926212" w:rsidRDefault="00926212" w:rsidP="00E904DF">
            <w:r>
              <w:t xml:space="preserve">Expectations and dates for all aspects of the process are set out as far in advance as possible, allowing for preparation for participants to cover any caring responsibilities. </w:t>
            </w:r>
          </w:p>
          <w:p w14:paraId="479BB228" w14:textId="77777777" w:rsidR="00BA7117" w:rsidRDefault="00BA7117" w:rsidP="00E904DF"/>
          <w:p w14:paraId="774F143C" w14:textId="16BDD56D" w:rsidR="00E904DF" w:rsidRDefault="00926212" w:rsidP="00E904DF">
            <w:r>
              <w:t>Where possible, UKRI-BBSRC aims to schedule meetings in standard working hours and this will be considered alongside time zone barriers</w:t>
            </w:r>
            <w:r w:rsidR="00BA7117">
              <w:t>.</w:t>
            </w:r>
          </w:p>
          <w:p w14:paraId="48C35FBD" w14:textId="77777777" w:rsidR="00BA6D9C" w:rsidRDefault="00BA6D9C" w:rsidP="00E904DF"/>
          <w:p w14:paraId="52E0ED4B" w14:textId="1CAC236B" w:rsidR="00BA6D9C" w:rsidRDefault="00BA6D9C" w:rsidP="00E904DF">
            <w:r>
              <w:t>The discussion board period during the assessment process will be live for 1- 2 weeks to ensure panel members are able to submit their comments when they feel it is appropriate.</w:t>
            </w:r>
          </w:p>
          <w:p w14:paraId="31CEBA99" w14:textId="77777777" w:rsidR="00BA7117" w:rsidRDefault="00BA7117" w:rsidP="00E904DF"/>
          <w:p w14:paraId="34D41F88" w14:textId="77777777" w:rsidR="00BA7117" w:rsidRDefault="00BA7117" w:rsidP="00E904DF">
            <w:r>
              <w:t xml:space="preserve">For panel assessment: UKRI -BBSRC will pay reasonable caring costs incurred while on UKRI -BBSRC business. </w:t>
            </w:r>
          </w:p>
          <w:p w14:paraId="4B896670" w14:textId="77777777" w:rsidR="00827DFD" w:rsidRDefault="00827DFD" w:rsidP="00E904DF"/>
          <w:p w14:paraId="0BBA3BDE" w14:textId="3C46CCD0" w:rsidR="00BA7117" w:rsidRDefault="00827DFD" w:rsidP="00E904DF">
            <w:r>
              <w:t>it</w:t>
            </w:r>
            <w:r w:rsidR="00BA7117">
              <w:t xml:space="preserve"> is the responsibility of the employer (the research organisation) to provide sufficient support for those with caring responsibilities. </w:t>
            </w:r>
          </w:p>
          <w:p w14:paraId="04E90D79" w14:textId="77777777" w:rsidR="00BA7117" w:rsidRDefault="00BA7117" w:rsidP="00E904DF"/>
          <w:p w14:paraId="129B4EA9" w14:textId="02976422" w:rsidR="00BA7117" w:rsidRPr="007C4B67" w:rsidRDefault="00BA7117" w:rsidP="00E904DF">
            <w:pPr>
              <w:rPr>
                <w:b/>
                <w:bCs/>
                <w:color w:val="auto"/>
              </w:rPr>
            </w:pPr>
            <w:r>
              <w:lastRenderedPageBreak/>
              <w:t>In partner countries this should conform to the local regulatory framework.</w:t>
            </w:r>
          </w:p>
        </w:tc>
      </w:tr>
      <w:tr w:rsidR="00E904DF" w:rsidRPr="007C4B67" w14:paraId="68CEEA75" w14:textId="77777777" w:rsidTr="008E3B5B">
        <w:trPr>
          <w:trHeight w:val="166"/>
        </w:trPr>
        <w:tc>
          <w:tcPr>
            <w:tcW w:w="2557" w:type="dxa"/>
            <w:shd w:val="clear" w:color="auto" w:fill="D1DEFD" w:themeFill="accent3" w:themeFillTint="33"/>
          </w:tcPr>
          <w:p w14:paraId="15C44D87" w14:textId="77777777" w:rsidR="00E904DF" w:rsidRPr="007A2B49" w:rsidRDefault="00E904DF" w:rsidP="00623DB3">
            <w:r w:rsidRPr="007A2B49">
              <w:lastRenderedPageBreak/>
              <w:t>Carer/parent carer responsibilities</w:t>
            </w:r>
          </w:p>
        </w:tc>
        <w:sdt>
          <w:sdtPr>
            <w:rPr>
              <w:rFonts w:cs="Arial"/>
              <w:color w:val="000000" w:themeColor="text1"/>
              <w:sz w:val="40"/>
              <w:szCs w:val="40"/>
            </w:rPr>
            <w:id w:val="-98652079"/>
            <w14:checkbox>
              <w14:checked w14:val="0"/>
              <w14:checkedState w14:val="2612" w14:font="MS Gothic"/>
              <w14:uncheckedState w14:val="2610" w14:font="MS Gothic"/>
            </w14:checkbox>
          </w:sdtPr>
          <w:sdtEndPr/>
          <w:sdtContent>
            <w:tc>
              <w:tcPr>
                <w:tcW w:w="1565" w:type="dxa"/>
              </w:tcPr>
              <w:p w14:paraId="26DEF801" w14:textId="67C17B04"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755695671"/>
            <w14:checkbox>
              <w14:checked w14:val="1"/>
              <w14:checkedState w14:val="2612" w14:font="MS Gothic"/>
              <w14:uncheckedState w14:val="2610" w14:font="MS Gothic"/>
            </w14:checkbox>
          </w:sdtPr>
          <w:sdtEndPr/>
          <w:sdtContent>
            <w:tc>
              <w:tcPr>
                <w:tcW w:w="1138" w:type="dxa"/>
              </w:tcPr>
              <w:p w14:paraId="52DD0E89" w14:textId="5DED9D8C" w:rsidR="00E904DF" w:rsidRPr="00E904DF" w:rsidRDefault="009F7E4B"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05838540" w14:textId="4E4058C1" w:rsidR="00E904DF" w:rsidRPr="007C4B67" w:rsidRDefault="002231FB" w:rsidP="00E904DF">
            <w:pPr>
              <w:rPr>
                <w:bCs/>
                <w:color w:val="auto"/>
              </w:rPr>
            </w:pPr>
            <w:r>
              <w:t>Committee members and applicants may find it difficult to participate if they have caring responsibilities. Caring responsibilities fall disproportionately on women and therefore this is likely to interact with gender.</w:t>
            </w:r>
          </w:p>
        </w:tc>
        <w:tc>
          <w:tcPr>
            <w:tcW w:w="4496" w:type="dxa"/>
          </w:tcPr>
          <w:p w14:paraId="3B378AEF" w14:textId="77777777" w:rsidR="008A71A9" w:rsidRDefault="008A71A9" w:rsidP="00E904DF">
            <w:r>
              <w:t xml:space="preserve">Expectations and dates for all aspects of the process are set out as far in advance as possible, allowing for preparation for participants to cover any caring responsibilities. </w:t>
            </w:r>
          </w:p>
          <w:p w14:paraId="4B3199DB" w14:textId="77777777" w:rsidR="008A71A9" w:rsidRDefault="008A71A9" w:rsidP="00E904DF"/>
          <w:p w14:paraId="4C5C68DB" w14:textId="57D71D4D" w:rsidR="008A71A9" w:rsidRDefault="008A71A9" w:rsidP="00E904DF">
            <w:r>
              <w:t xml:space="preserve">Where possible, UKRI-BBSRC aims to schedule meetings in standard working hours and this will be considered alongside time zone barriers.  </w:t>
            </w:r>
          </w:p>
          <w:p w14:paraId="007E1168" w14:textId="77777777" w:rsidR="008A71A9" w:rsidRDefault="008A71A9" w:rsidP="00E904DF"/>
          <w:p w14:paraId="7AACF244" w14:textId="77777777" w:rsidR="008A71A9" w:rsidRDefault="008A71A9" w:rsidP="00E904DF">
            <w:r>
              <w:t xml:space="preserve">For panel assessment: UKRI -BBSRC will pay the cost of reasonable caring responsibilities incurred while on UKRI - BBSRC business. </w:t>
            </w:r>
          </w:p>
          <w:p w14:paraId="052F7B2B" w14:textId="77777777" w:rsidR="00BA6D9C" w:rsidRDefault="00BA6D9C" w:rsidP="00E904DF"/>
          <w:p w14:paraId="2E4EAC9C" w14:textId="6A3BD0B7" w:rsidR="00BA6D9C" w:rsidRDefault="00BA6D9C" w:rsidP="00E904DF">
            <w:r>
              <w:t xml:space="preserve">The discussion board period during the assessment process will be live for 1- </w:t>
            </w:r>
            <w:proofErr w:type="gramStart"/>
            <w:r>
              <w:t>2  weeks</w:t>
            </w:r>
            <w:proofErr w:type="gramEnd"/>
            <w:r>
              <w:t xml:space="preserve"> to ensure panel members are able to submit their comments when they feel it is appropriate.</w:t>
            </w:r>
          </w:p>
          <w:p w14:paraId="138ABD3E" w14:textId="77777777" w:rsidR="008A71A9" w:rsidRDefault="008A71A9" w:rsidP="00E904DF"/>
          <w:p w14:paraId="219B95CF" w14:textId="010F9BD4" w:rsidR="00E904DF" w:rsidRPr="007C4B67" w:rsidRDefault="008A71A9" w:rsidP="00E904DF">
            <w:pPr>
              <w:rPr>
                <w:bCs/>
                <w:color w:val="auto"/>
              </w:rPr>
            </w:pPr>
            <w:r>
              <w:t>It is the responsibility of the employer (the research organisation) to provide sufficient support. In partner countries this should conform to the local regulatory framework</w:t>
            </w:r>
          </w:p>
        </w:tc>
      </w:tr>
      <w:tr w:rsidR="00E904DF" w:rsidRPr="007C4B67" w14:paraId="1DEBFCE4" w14:textId="77777777" w:rsidTr="008E3B5B">
        <w:trPr>
          <w:trHeight w:val="166"/>
        </w:trPr>
        <w:tc>
          <w:tcPr>
            <w:tcW w:w="2557" w:type="dxa"/>
            <w:shd w:val="clear" w:color="auto" w:fill="D1DEFD" w:themeFill="accent3" w:themeFillTint="33"/>
          </w:tcPr>
          <w:p w14:paraId="6505768C" w14:textId="2C6FC6AA" w:rsidR="00E904DF" w:rsidRPr="007A2B49" w:rsidRDefault="00E904DF" w:rsidP="00623DB3">
            <w:r w:rsidRPr="007A2B49">
              <w:t>Political opinion (Northern Ireland</w:t>
            </w:r>
            <w:r w:rsidR="00C97B79">
              <w:t xml:space="preserve"> only</w:t>
            </w:r>
            <w:r w:rsidRPr="007A2B49">
              <w:t>)</w:t>
            </w:r>
          </w:p>
        </w:tc>
        <w:sdt>
          <w:sdtPr>
            <w:rPr>
              <w:rFonts w:cs="Arial"/>
              <w:color w:val="000000" w:themeColor="text1"/>
              <w:sz w:val="40"/>
              <w:szCs w:val="40"/>
            </w:rPr>
            <w:id w:val="345370163"/>
            <w14:checkbox>
              <w14:checked w14:val="0"/>
              <w14:checkedState w14:val="2612" w14:font="MS Gothic"/>
              <w14:uncheckedState w14:val="2610" w14:font="MS Gothic"/>
            </w14:checkbox>
          </w:sdtPr>
          <w:sdtEndPr/>
          <w:sdtContent>
            <w:tc>
              <w:tcPr>
                <w:tcW w:w="1565" w:type="dxa"/>
              </w:tcPr>
              <w:p w14:paraId="1DA1D638" w14:textId="4511D500"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743720606"/>
            <w14:checkbox>
              <w14:checked w14:val="0"/>
              <w14:checkedState w14:val="2612" w14:font="MS Gothic"/>
              <w14:uncheckedState w14:val="2610" w14:font="MS Gothic"/>
            </w14:checkbox>
          </w:sdtPr>
          <w:sdtEndPr/>
          <w:sdtContent>
            <w:tc>
              <w:tcPr>
                <w:tcW w:w="1138" w:type="dxa"/>
              </w:tcPr>
              <w:p w14:paraId="64A3D166" w14:textId="288B4D8E"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BA51296" w14:textId="77777777" w:rsidR="00E904DF" w:rsidRPr="007C4B67" w:rsidRDefault="00E904DF" w:rsidP="00E904DF">
            <w:pPr>
              <w:rPr>
                <w:bCs/>
                <w:color w:val="auto"/>
              </w:rPr>
            </w:pPr>
          </w:p>
        </w:tc>
        <w:tc>
          <w:tcPr>
            <w:tcW w:w="4496" w:type="dxa"/>
          </w:tcPr>
          <w:p w14:paraId="06C71136" w14:textId="77777777" w:rsidR="00E904DF" w:rsidRPr="007C4B67" w:rsidRDefault="00E904DF" w:rsidP="00E904DF">
            <w:pPr>
              <w:rPr>
                <w:bCs/>
                <w:color w:val="auto"/>
              </w:rPr>
            </w:pPr>
          </w:p>
        </w:tc>
      </w:tr>
      <w:tr w:rsidR="00E904DF" w:rsidRPr="007C4B67" w14:paraId="3A524ABB" w14:textId="77777777" w:rsidTr="008E3B5B">
        <w:trPr>
          <w:trHeight w:val="166"/>
        </w:trPr>
        <w:tc>
          <w:tcPr>
            <w:tcW w:w="2557" w:type="dxa"/>
            <w:shd w:val="clear" w:color="auto" w:fill="D1DEFD" w:themeFill="accent3" w:themeFillTint="33"/>
          </w:tcPr>
          <w:p w14:paraId="01517A1E" w14:textId="77777777" w:rsidR="00E904DF" w:rsidRPr="007A2B49" w:rsidRDefault="00E904DF" w:rsidP="00623DB3">
            <w:r w:rsidRPr="007A2B49">
              <w:t>Other characteristics</w:t>
            </w:r>
          </w:p>
        </w:tc>
        <w:sdt>
          <w:sdtPr>
            <w:rPr>
              <w:rFonts w:cs="Arial"/>
              <w:color w:val="000000" w:themeColor="text1"/>
              <w:sz w:val="40"/>
              <w:szCs w:val="40"/>
            </w:rPr>
            <w:id w:val="-414863596"/>
            <w14:checkbox>
              <w14:checked w14:val="0"/>
              <w14:checkedState w14:val="2612" w14:font="MS Gothic"/>
              <w14:uncheckedState w14:val="2610" w14:font="MS Gothic"/>
            </w14:checkbox>
          </w:sdtPr>
          <w:sdtEndPr/>
          <w:sdtContent>
            <w:tc>
              <w:tcPr>
                <w:tcW w:w="1565" w:type="dxa"/>
              </w:tcPr>
              <w:p w14:paraId="2DC688B9" w14:textId="22DED01B"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344482461"/>
            <w14:checkbox>
              <w14:checked w14:val="0"/>
              <w14:checkedState w14:val="2612" w14:font="MS Gothic"/>
              <w14:uncheckedState w14:val="2610" w14:font="MS Gothic"/>
            </w14:checkbox>
          </w:sdtPr>
          <w:sdtEndPr/>
          <w:sdtContent>
            <w:tc>
              <w:tcPr>
                <w:tcW w:w="1138" w:type="dxa"/>
              </w:tcPr>
              <w:p w14:paraId="3477E10C" w14:textId="001C28C3"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6016568" w14:textId="77777777" w:rsidR="00E904DF" w:rsidRPr="007C4B67" w:rsidRDefault="00E904DF" w:rsidP="00E904DF">
            <w:pPr>
              <w:rPr>
                <w:bCs/>
                <w:color w:val="auto"/>
              </w:rPr>
            </w:pPr>
          </w:p>
        </w:tc>
        <w:tc>
          <w:tcPr>
            <w:tcW w:w="4496" w:type="dxa"/>
          </w:tcPr>
          <w:p w14:paraId="2E9C3963" w14:textId="77777777" w:rsidR="00E904DF" w:rsidRPr="007C4B67" w:rsidRDefault="00E904DF" w:rsidP="00E904DF">
            <w:pPr>
              <w:rPr>
                <w:bCs/>
                <w:color w:val="auto"/>
              </w:rPr>
            </w:pPr>
          </w:p>
        </w:tc>
      </w:tr>
    </w:tbl>
    <w:p w14:paraId="3F2ED839" w14:textId="0F43CDAC" w:rsidR="00E904DF" w:rsidRDefault="00E904DF" w:rsidP="008E3656">
      <w:pPr>
        <w:rPr>
          <w:bCs/>
          <w:color w:val="auto"/>
        </w:rPr>
      </w:pPr>
    </w:p>
    <w:p w14:paraId="373606D1" w14:textId="3AD7F429" w:rsidR="00E904DF" w:rsidRDefault="0046653F">
      <w:pPr>
        <w:rPr>
          <w:bCs/>
          <w:color w:val="auto"/>
        </w:rPr>
      </w:pPr>
      <w:r>
        <w:rPr>
          <w:bCs/>
          <w:color w:val="auto"/>
        </w:rPr>
        <w:t>Continued below…</w:t>
      </w:r>
      <w:r w:rsidR="00E904DF">
        <w:rPr>
          <w:bCs/>
          <w:color w:val="auto"/>
        </w:rPr>
        <w:br w:type="page"/>
      </w:r>
    </w:p>
    <w:p w14:paraId="4ADD628E" w14:textId="77777777" w:rsidR="00E904DF" w:rsidRDefault="00E904DF" w:rsidP="00E904DF"/>
    <w:p w14:paraId="586D362D" w14:textId="3ACA9526" w:rsidR="004E69F3" w:rsidRDefault="004E69F3" w:rsidP="004E69F3">
      <w:pPr>
        <w:pStyle w:val="Heading2"/>
      </w:pPr>
      <w:bookmarkStart w:id="8" w:name="_Toc126841210"/>
      <w:r>
        <w:t>Evaluation</w:t>
      </w:r>
      <w:bookmarkEnd w:id="8"/>
    </w:p>
    <w:p w14:paraId="13831F6A" w14:textId="77777777" w:rsidR="004E69F3" w:rsidRPr="00E904DF" w:rsidRDefault="004E69F3" w:rsidP="00E904DF"/>
    <w:tbl>
      <w:tblPr>
        <w:tblStyle w:val="TableGrid"/>
        <w:tblW w:w="14737" w:type="dxa"/>
        <w:tblLayout w:type="fixed"/>
        <w:tblLook w:val="04A0" w:firstRow="1" w:lastRow="0" w:firstColumn="1" w:lastColumn="0" w:noHBand="0" w:noVBand="1"/>
      </w:tblPr>
      <w:tblGrid>
        <w:gridCol w:w="6581"/>
        <w:gridCol w:w="1352"/>
        <w:gridCol w:w="6804"/>
      </w:tblGrid>
      <w:tr w:rsidR="009A5E6A" w:rsidRPr="009A5E6A" w14:paraId="1ABB136C" w14:textId="77777777" w:rsidTr="008E3B5B">
        <w:trPr>
          <w:trHeight w:val="1026"/>
        </w:trPr>
        <w:tc>
          <w:tcPr>
            <w:tcW w:w="6581" w:type="dxa"/>
            <w:shd w:val="clear" w:color="auto" w:fill="D1DEFD" w:themeFill="accent3" w:themeFillTint="33"/>
          </w:tcPr>
          <w:p w14:paraId="033245EA" w14:textId="77777777" w:rsidR="009A5E6A" w:rsidRPr="009A5E6A" w:rsidRDefault="009A5E6A" w:rsidP="009A5E6A">
            <w:pPr>
              <w:rPr>
                <w:b/>
              </w:rPr>
            </w:pPr>
            <w:r w:rsidRPr="009A5E6A">
              <w:rPr>
                <w:b/>
              </w:rPr>
              <w:t>Final Decision:</w:t>
            </w:r>
          </w:p>
          <w:p w14:paraId="3AB0CE97" w14:textId="77777777" w:rsidR="009A5E6A" w:rsidRPr="009A5E6A" w:rsidRDefault="009A5E6A" w:rsidP="009A5E6A">
            <w:pPr>
              <w:rPr>
                <w:b/>
              </w:rPr>
            </w:pPr>
          </w:p>
        </w:tc>
        <w:tc>
          <w:tcPr>
            <w:tcW w:w="1352" w:type="dxa"/>
            <w:shd w:val="clear" w:color="auto" w:fill="D1DEFD" w:themeFill="accent3" w:themeFillTint="33"/>
          </w:tcPr>
          <w:p w14:paraId="2BF2539F" w14:textId="2A9FBFFD" w:rsidR="009A5E6A" w:rsidRPr="009A5E6A" w:rsidRDefault="00BB4B26" w:rsidP="009A5E6A">
            <w:pPr>
              <w:rPr>
                <w:b/>
              </w:rPr>
            </w:pPr>
            <w:r>
              <w:rPr>
                <w:b/>
              </w:rPr>
              <w:t xml:space="preserve">Select </w:t>
            </w:r>
            <w:r w:rsidR="009A5E6A" w:rsidRPr="009A5E6A">
              <w:rPr>
                <w:b/>
              </w:rPr>
              <w:t>the relevant box</w:t>
            </w:r>
          </w:p>
        </w:tc>
        <w:tc>
          <w:tcPr>
            <w:tcW w:w="6804" w:type="dxa"/>
            <w:shd w:val="clear" w:color="auto" w:fill="D1DEFD" w:themeFill="accent3" w:themeFillTint="33"/>
          </w:tcPr>
          <w:p w14:paraId="0A7EC04C" w14:textId="77777777" w:rsidR="009A5E6A" w:rsidRPr="009A5E6A" w:rsidRDefault="009A5E6A" w:rsidP="009A5E6A">
            <w:pPr>
              <w:rPr>
                <w:b/>
              </w:rPr>
            </w:pPr>
            <w:r w:rsidRPr="009A5E6A">
              <w:rPr>
                <w:b/>
              </w:rPr>
              <w:t xml:space="preserve">Include any explanation / justification </w:t>
            </w:r>
            <w:proofErr w:type="gramStart"/>
            <w:r w:rsidRPr="009A5E6A">
              <w:rPr>
                <w:b/>
              </w:rPr>
              <w:t>required</w:t>
            </w:r>
            <w:proofErr w:type="gramEnd"/>
          </w:p>
          <w:p w14:paraId="3BA3ECAA" w14:textId="65CC8A96" w:rsidR="009A5E6A" w:rsidRPr="009A5E6A" w:rsidRDefault="009A5E6A" w:rsidP="009A5E6A">
            <w:pPr>
              <w:rPr>
                <w:b/>
              </w:rPr>
            </w:pPr>
          </w:p>
        </w:tc>
      </w:tr>
      <w:tr w:rsidR="009A5E6A" w:rsidRPr="009A5E6A" w14:paraId="1FFD816E" w14:textId="77777777" w:rsidTr="008E3B5B">
        <w:trPr>
          <w:trHeight w:val="505"/>
        </w:trPr>
        <w:tc>
          <w:tcPr>
            <w:tcW w:w="6581" w:type="dxa"/>
          </w:tcPr>
          <w:p w14:paraId="397DD0BD" w14:textId="77777777" w:rsidR="00E904DF" w:rsidRDefault="00E904DF" w:rsidP="00E904DF">
            <w:pPr>
              <w:numPr>
                <w:ilvl w:val="0"/>
                <w:numId w:val="18"/>
              </w:numPr>
            </w:pPr>
            <w:r w:rsidRPr="008E3656">
              <w:t xml:space="preserve">No </w:t>
            </w:r>
            <w:r>
              <w:t>negative or positive impact identified</w:t>
            </w:r>
            <w:r w:rsidRPr="008E3656">
              <w:t xml:space="preserve">; therefore, activity will </w:t>
            </w:r>
            <w:r w:rsidRPr="008E3656">
              <w:rPr>
                <w:b/>
              </w:rPr>
              <w:t>proceed</w:t>
            </w:r>
            <w:r w:rsidRPr="008E3656">
              <w:t>.</w:t>
            </w:r>
          </w:p>
          <w:p w14:paraId="15E4CBA9" w14:textId="2B496DDF" w:rsidR="009A5E6A" w:rsidRPr="009A5E6A" w:rsidRDefault="009A5E6A" w:rsidP="00E904DF">
            <w:pPr>
              <w:ind w:left="360"/>
            </w:pPr>
          </w:p>
        </w:tc>
        <w:sdt>
          <w:sdtPr>
            <w:rPr>
              <w:rFonts w:cs="Arial"/>
              <w:color w:val="000000" w:themeColor="text1"/>
              <w:sz w:val="40"/>
              <w:szCs w:val="40"/>
            </w:rPr>
            <w:id w:val="1395398361"/>
            <w14:checkbox>
              <w14:checked w14:val="0"/>
              <w14:checkedState w14:val="2612" w14:font="MS Gothic"/>
              <w14:uncheckedState w14:val="2610" w14:font="MS Gothic"/>
            </w14:checkbox>
          </w:sdtPr>
          <w:sdtEndPr/>
          <w:sdtContent>
            <w:tc>
              <w:tcPr>
                <w:tcW w:w="1352" w:type="dxa"/>
              </w:tcPr>
              <w:p w14:paraId="0565D96E" w14:textId="4BA02FED" w:rsidR="009A5E6A" w:rsidRPr="009A5E6A" w:rsidRDefault="00BB4B26" w:rsidP="009A5E6A">
                <w:pPr>
                  <w:rPr>
                    <w:b/>
                    <w:bCs/>
                  </w:rPr>
                </w:pPr>
                <w:r>
                  <w:rPr>
                    <w:rFonts w:ascii="MS Gothic" w:eastAsia="MS Gothic" w:hAnsi="MS Gothic" w:cs="Arial" w:hint="eastAsia"/>
                    <w:color w:val="000000" w:themeColor="text1"/>
                    <w:sz w:val="40"/>
                    <w:szCs w:val="40"/>
                  </w:rPr>
                  <w:t>☐</w:t>
                </w:r>
              </w:p>
            </w:tc>
          </w:sdtContent>
        </w:sdt>
        <w:tc>
          <w:tcPr>
            <w:tcW w:w="6804" w:type="dxa"/>
          </w:tcPr>
          <w:p w14:paraId="2F530BEE" w14:textId="77777777" w:rsidR="009A5E6A" w:rsidRPr="00F83734" w:rsidRDefault="009A5E6A" w:rsidP="009A5E6A">
            <w:pPr>
              <w:rPr>
                <w:bCs/>
              </w:rPr>
            </w:pPr>
          </w:p>
        </w:tc>
      </w:tr>
      <w:tr w:rsidR="009A5E6A" w:rsidRPr="009A5E6A" w14:paraId="608B7356" w14:textId="77777777" w:rsidTr="008E3B5B">
        <w:trPr>
          <w:trHeight w:val="1026"/>
        </w:trPr>
        <w:tc>
          <w:tcPr>
            <w:tcW w:w="6581" w:type="dxa"/>
          </w:tcPr>
          <w:p w14:paraId="5B5B15E0" w14:textId="45C043BE" w:rsidR="009A5E6A" w:rsidRPr="009A5E6A" w:rsidRDefault="00E904DF" w:rsidP="009A5E6A">
            <w:pPr>
              <w:numPr>
                <w:ilvl w:val="0"/>
                <w:numId w:val="18"/>
              </w:numPr>
            </w:pPr>
            <w:r>
              <w:rPr>
                <w:b/>
                <w:bCs/>
              </w:rPr>
              <w:t>A</w:t>
            </w:r>
            <w:r w:rsidRPr="008E3656">
              <w:rPr>
                <w:b/>
                <w:bCs/>
              </w:rPr>
              <w:t xml:space="preserve">dapt or change </w:t>
            </w:r>
            <w:r w:rsidRPr="008E3656">
              <w:t xml:space="preserve">the </w:t>
            </w:r>
            <w:r>
              <w:t xml:space="preserve">activity </w:t>
            </w:r>
            <w:r w:rsidRPr="008E3656">
              <w:t xml:space="preserve">in a way which you think will eliminate </w:t>
            </w:r>
            <w:r>
              <w:t>negative impact or promote equality.</w:t>
            </w:r>
          </w:p>
        </w:tc>
        <w:sdt>
          <w:sdtPr>
            <w:rPr>
              <w:rFonts w:cs="Arial"/>
              <w:color w:val="000000" w:themeColor="text1"/>
              <w:sz w:val="40"/>
              <w:szCs w:val="40"/>
            </w:rPr>
            <w:id w:val="-1520928764"/>
            <w14:checkbox>
              <w14:checked w14:val="1"/>
              <w14:checkedState w14:val="2612" w14:font="MS Gothic"/>
              <w14:uncheckedState w14:val="2610" w14:font="MS Gothic"/>
            </w14:checkbox>
          </w:sdtPr>
          <w:sdtEndPr/>
          <w:sdtContent>
            <w:tc>
              <w:tcPr>
                <w:tcW w:w="1352" w:type="dxa"/>
              </w:tcPr>
              <w:p w14:paraId="50632610" w14:textId="09006B3E" w:rsidR="009A5E6A" w:rsidRPr="009A5E6A" w:rsidRDefault="00D536BF" w:rsidP="009A5E6A">
                <w:pPr>
                  <w:rPr>
                    <w:b/>
                  </w:rPr>
                </w:pPr>
                <w:r>
                  <w:rPr>
                    <w:rFonts w:ascii="MS Gothic" w:eastAsia="MS Gothic" w:hAnsi="MS Gothic" w:cs="Arial" w:hint="eastAsia"/>
                    <w:color w:val="000000" w:themeColor="text1"/>
                    <w:sz w:val="40"/>
                    <w:szCs w:val="40"/>
                  </w:rPr>
                  <w:t>☒</w:t>
                </w:r>
              </w:p>
            </w:tc>
          </w:sdtContent>
        </w:sdt>
        <w:tc>
          <w:tcPr>
            <w:tcW w:w="6804" w:type="dxa"/>
          </w:tcPr>
          <w:p w14:paraId="06B81F0A" w14:textId="2E3D83CD" w:rsidR="009A5E6A" w:rsidRPr="00F83734" w:rsidRDefault="00D536BF" w:rsidP="009A5E6A">
            <w:pPr>
              <w:rPr>
                <w:bCs/>
              </w:rPr>
            </w:pPr>
            <w:r>
              <w:rPr>
                <w:bCs/>
              </w:rPr>
              <w:t>T</w:t>
            </w:r>
            <w:r>
              <w:t>he activity has been adapted following the actions described in the previous section. BBSRC acknowledges that there may be unforeseen barriers and encourage individuals to contact the office to arrange for further mitigations where appropriate.</w:t>
            </w:r>
          </w:p>
        </w:tc>
      </w:tr>
      <w:tr w:rsidR="009A5E6A" w:rsidRPr="009A5E6A" w14:paraId="0AF5DEE8" w14:textId="77777777" w:rsidTr="008E3B5B">
        <w:trPr>
          <w:trHeight w:val="766"/>
        </w:trPr>
        <w:tc>
          <w:tcPr>
            <w:tcW w:w="6581" w:type="dxa"/>
          </w:tcPr>
          <w:p w14:paraId="3201A062" w14:textId="2BE5FF14" w:rsidR="00E904DF" w:rsidRPr="008E3656" w:rsidRDefault="00E904DF" w:rsidP="00E904DF">
            <w:pPr>
              <w:numPr>
                <w:ilvl w:val="0"/>
                <w:numId w:val="18"/>
              </w:numPr>
            </w:pPr>
            <w:r>
              <w:rPr>
                <w:b/>
                <w:bCs/>
              </w:rPr>
              <w:t>S</w:t>
            </w:r>
            <w:r w:rsidRPr="008E3656">
              <w:rPr>
                <w:b/>
                <w:bCs/>
              </w:rPr>
              <w:t>top</w:t>
            </w:r>
            <w:r w:rsidRPr="008E3656">
              <w:t xml:space="preserve"> the </w:t>
            </w:r>
            <w:r>
              <w:t>activity</w:t>
            </w:r>
            <w:r w:rsidRPr="008E3656">
              <w:t xml:space="preserve"> because the evidence shows bias</w:t>
            </w:r>
            <w:r>
              <w:t xml:space="preserve"> or negative impact</w:t>
            </w:r>
            <w:r w:rsidRPr="008E3656">
              <w:t xml:space="preserve"> towards one or more groups.</w:t>
            </w:r>
          </w:p>
          <w:p w14:paraId="60D486A1" w14:textId="05EEB77B" w:rsidR="009A5E6A" w:rsidRPr="009A5E6A" w:rsidRDefault="009A5E6A" w:rsidP="00E904DF">
            <w:pPr>
              <w:ind w:left="360"/>
            </w:pPr>
          </w:p>
        </w:tc>
        <w:sdt>
          <w:sdtPr>
            <w:rPr>
              <w:rFonts w:cs="Arial"/>
              <w:color w:val="000000" w:themeColor="text1"/>
              <w:sz w:val="40"/>
              <w:szCs w:val="40"/>
            </w:rPr>
            <w:id w:val="1765646659"/>
            <w14:checkbox>
              <w14:checked w14:val="0"/>
              <w14:checkedState w14:val="2612" w14:font="MS Gothic"/>
              <w14:uncheckedState w14:val="2610" w14:font="MS Gothic"/>
            </w14:checkbox>
          </w:sdtPr>
          <w:sdtEndPr/>
          <w:sdtContent>
            <w:tc>
              <w:tcPr>
                <w:tcW w:w="1352" w:type="dxa"/>
              </w:tcPr>
              <w:p w14:paraId="543DA6E7" w14:textId="76A8C118"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5C38D2A5" w14:textId="77777777" w:rsidR="009A5E6A" w:rsidRPr="00F83734" w:rsidRDefault="009A5E6A" w:rsidP="009A5E6A">
            <w:pPr>
              <w:rPr>
                <w:bCs/>
              </w:rPr>
            </w:pPr>
          </w:p>
        </w:tc>
      </w:tr>
      <w:tr w:rsidR="009A5E6A" w:rsidRPr="009A5E6A" w14:paraId="3FB67584" w14:textId="77777777" w:rsidTr="008E3B5B">
        <w:trPr>
          <w:trHeight w:val="2127"/>
        </w:trPr>
        <w:tc>
          <w:tcPr>
            <w:tcW w:w="6581" w:type="dxa"/>
          </w:tcPr>
          <w:p w14:paraId="48854909" w14:textId="52BD3C0D" w:rsidR="00E904DF" w:rsidRPr="008E3656" w:rsidRDefault="00E904DF" w:rsidP="00E904DF">
            <w:pPr>
              <w:numPr>
                <w:ilvl w:val="0"/>
                <w:numId w:val="18"/>
              </w:numPr>
            </w:pPr>
            <w:r w:rsidRPr="008E3656">
              <w:t xml:space="preserve">Barriers and impact identified, however having considered all available options carefully, there appear to be no other proportionate ways to achieve the </w:t>
            </w:r>
            <w:r w:rsidR="00417581">
              <w:t xml:space="preserve">activity </w:t>
            </w:r>
            <w:r w:rsidRPr="008E3656">
              <w:t>(</w:t>
            </w:r>
            <w:proofErr w:type="gramStart"/>
            <w:r w:rsidRPr="008E3656">
              <w:t>e.g.</w:t>
            </w:r>
            <w:proofErr w:type="gramEnd"/>
            <w:r w:rsidRPr="008E3656">
              <w:t xml:space="preserve"> in </w:t>
            </w:r>
            <w:r w:rsidRPr="008E3656">
              <w:rPr>
                <w:b/>
              </w:rPr>
              <w:t>extreme cases</w:t>
            </w:r>
            <w:r w:rsidRPr="008E3656">
              <w:t xml:space="preserve"> or where </w:t>
            </w:r>
            <w:r w:rsidRPr="008E3656">
              <w:rPr>
                <w:b/>
              </w:rPr>
              <w:t>positive action</w:t>
            </w:r>
            <w:r w:rsidRPr="008E3656">
              <w:t xml:space="preserve"> is taken). Therefore, you are going to </w:t>
            </w:r>
            <w:r w:rsidRPr="008E3656">
              <w:rPr>
                <w:b/>
              </w:rPr>
              <w:t>proceed with caution</w:t>
            </w:r>
            <w:r w:rsidRPr="008E3656">
              <w:t xml:space="preserve"> with this </w:t>
            </w:r>
            <w:r>
              <w:t>activity</w:t>
            </w:r>
            <w:r w:rsidRPr="008E3656">
              <w:t xml:space="preserve"> knowing that it may favour some people less than others, providing justification for this decision.</w:t>
            </w:r>
            <w:r>
              <w:t xml:space="preserve"> </w:t>
            </w:r>
          </w:p>
          <w:p w14:paraId="15753164" w14:textId="1599CE1F" w:rsidR="009A5E6A" w:rsidRPr="009A5E6A" w:rsidRDefault="009A5E6A" w:rsidP="00E904DF">
            <w:pPr>
              <w:ind w:left="360"/>
            </w:pPr>
          </w:p>
        </w:tc>
        <w:sdt>
          <w:sdtPr>
            <w:rPr>
              <w:rFonts w:cs="Arial"/>
              <w:color w:val="000000" w:themeColor="text1"/>
              <w:sz w:val="40"/>
              <w:szCs w:val="40"/>
            </w:rPr>
            <w:id w:val="-2046277413"/>
            <w14:checkbox>
              <w14:checked w14:val="0"/>
              <w14:checkedState w14:val="2612" w14:font="MS Gothic"/>
              <w14:uncheckedState w14:val="2610" w14:font="MS Gothic"/>
            </w14:checkbox>
          </w:sdtPr>
          <w:sdtEndPr/>
          <w:sdtContent>
            <w:tc>
              <w:tcPr>
                <w:tcW w:w="1352" w:type="dxa"/>
              </w:tcPr>
              <w:p w14:paraId="4BF48B44" w14:textId="062599A4"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7F8F838B" w14:textId="77777777" w:rsidR="009A5E6A" w:rsidRPr="00F83734" w:rsidRDefault="009A5E6A" w:rsidP="009A5E6A">
            <w:pPr>
              <w:rPr>
                <w:bCs/>
              </w:rPr>
            </w:pPr>
          </w:p>
        </w:tc>
      </w:tr>
    </w:tbl>
    <w:p w14:paraId="58CC04F9" w14:textId="77777777" w:rsidR="00735EA4" w:rsidRDefault="00735EA4" w:rsidP="00735EA4"/>
    <w:p w14:paraId="3E8F2063" w14:textId="09BE97DF" w:rsidR="00BB4B26" w:rsidRDefault="0046653F" w:rsidP="00BB4B26">
      <w:r>
        <w:rPr>
          <w:bCs/>
          <w:color w:val="auto"/>
        </w:rPr>
        <w:t>Continued below…</w:t>
      </w:r>
      <w:r w:rsidR="00E904DF">
        <w:br w:type="page"/>
      </w:r>
      <w:bookmarkStart w:id="9" w:name="_Toc126841211"/>
    </w:p>
    <w:p w14:paraId="7D6B97B3" w14:textId="77777777" w:rsidR="00BB4B26" w:rsidRDefault="00BB4B26" w:rsidP="00BB4B26"/>
    <w:p w14:paraId="0DF60513" w14:textId="4BF47CFB" w:rsidR="004E69F3" w:rsidRDefault="004E69F3" w:rsidP="004E69F3">
      <w:pPr>
        <w:pStyle w:val="Heading2"/>
      </w:pPr>
      <w:r>
        <w:t xml:space="preserve">Review and sign </w:t>
      </w:r>
      <w:proofErr w:type="gramStart"/>
      <w:r>
        <w:t>off</w:t>
      </w:r>
      <w:bookmarkEnd w:id="9"/>
      <w:proofErr w:type="gramEnd"/>
    </w:p>
    <w:p w14:paraId="1260C80A" w14:textId="77777777" w:rsidR="004E69F3" w:rsidRPr="004E69F3" w:rsidRDefault="004E69F3" w:rsidP="004E69F3"/>
    <w:tbl>
      <w:tblPr>
        <w:tblStyle w:val="TableGrid"/>
        <w:tblW w:w="14879" w:type="dxa"/>
        <w:tblLook w:val="04A0" w:firstRow="1" w:lastRow="0" w:firstColumn="1" w:lastColumn="0" w:noHBand="0" w:noVBand="1"/>
      </w:tblPr>
      <w:tblGrid>
        <w:gridCol w:w="5442"/>
        <w:gridCol w:w="9437"/>
      </w:tblGrid>
      <w:tr w:rsidR="00CD32EF" w:rsidRPr="00CD32EF" w14:paraId="4C072E63" w14:textId="77777777" w:rsidTr="004E69F3">
        <w:trPr>
          <w:trHeight w:val="582"/>
        </w:trPr>
        <w:tc>
          <w:tcPr>
            <w:tcW w:w="5442" w:type="dxa"/>
            <w:shd w:val="clear" w:color="auto" w:fill="D1DEFD" w:themeFill="accent3" w:themeFillTint="33"/>
          </w:tcPr>
          <w:p w14:paraId="314F5053" w14:textId="77777777" w:rsidR="00CD32EF" w:rsidRPr="00CD32EF" w:rsidRDefault="00CD32EF" w:rsidP="00CD32EF">
            <w:pPr>
              <w:rPr>
                <w:b/>
              </w:rPr>
            </w:pPr>
            <w:r w:rsidRPr="00CD32EF">
              <w:rPr>
                <w:b/>
              </w:rPr>
              <w:t>What are the arrangements for monitoring and reviewing the impact of your activity?</w:t>
            </w:r>
          </w:p>
        </w:tc>
        <w:tc>
          <w:tcPr>
            <w:tcW w:w="9437" w:type="dxa"/>
          </w:tcPr>
          <w:p w14:paraId="3D0FBE08" w14:textId="2C2C7AAC" w:rsidR="00C05231" w:rsidRPr="00BD25DA" w:rsidRDefault="00C05231" w:rsidP="00C05231">
            <w:pPr>
              <w:rPr>
                <w:rFonts w:eastAsia="Arial" w:cs="Arial"/>
                <w:bCs/>
              </w:rPr>
            </w:pPr>
            <w:r w:rsidRPr="00BD25DA">
              <w:rPr>
                <w:rFonts w:eastAsia="Arial" w:cs="Arial"/>
                <w:bCs/>
              </w:rPr>
              <w:t xml:space="preserve">This EIA will be regularly assessed by </w:t>
            </w:r>
            <w:r>
              <w:rPr>
                <w:rFonts w:eastAsia="Arial" w:cs="Arial"/>
                <w:bCs/>
              </w:rPr>
              <w:t>BBSRC</w:t>
            </w:r>
            <w:r w:rsidRPr="00BD25DA">
              <w:rPr>
                <w:rFonts w:eastAsia="Arial" w:cs="Arial"/>
                <w:bCs/>
              </w:rPr>
              <w:t xml:space="preserve">. It will be assessed when this </w:t>
            </w:r>
            <w:r>
              <w:rPr>
                <w:rFonts w:eastAsia="Arial" w:cs="Arial"/>
                <w:bCs/>
              </w:rPr>
              <w:t xml:space="preserve">funding </w:t>
            </w:r>
            <w:r w:rsidRPr="00BD25DA">
              <w:rPr>
                <w:rFonts w:eastAsia="Arial" w:cs="Arial"/>
                <w:bCs/>
              </w:rPr>
              <w:t xml:space="preserve">call </w:t>
            </w:r>
            <w:r w:rsidR="00C730D5" w:rsidRPr="00BD25DA">
              <w:rPr>
                <w:rFonts w:eastAsia="Arial" w:cs="Arial"/>
                <w:bCs/>
              </w:rPr>
              <w:t>closes,</w:t>
            </w:r>
            <w:r w:rsidRPr="00BD25DA">
              <w:rPr>
                <w:rFonts w:eastAsia="Arial" w:cs="Arial"/>
                <w:bCs/>
              </w:rPr>
              <w:t xml:space="preserve"> and </w:t>
            </w:r>
            <w:r w:rsidR="00BE2B8F">
              <w:rPr>
                <w:rFonts w:eastAsia="Arial" w:cs="Arial"/>
                <w:bCs/>
              </w:rPr>
              <w:t>the assessment process begins</w:t>
            </w:r>
            <w:r w:rsidRPr="00BD25DA">
              <w:rPr>
                <w:rFonts w:eastAsia="Arial" w:cs="Arial"/>
                <w:bCs/>
              </w:rPr>
              <w:t xml:space="preserve">. The EIA will also be reassessed based on any suggestions from applicants or members of the public after its publication. </w:t>
            </w:r>
          </w:p>
          <w:p w14:paraId="234B7EDF" w14:textId="77777777" w:rsidR="00CD32EF" w:rsidRPr="00CD32EF" w:rsidRDefault="00CD32EF" w:rsidP="00CD32EF">
            <w:pPr>
              <w:rPr>
                <w:i/>
                <w:iCs/>
              </w:rPr>
            </w:pPr>
          </w:p>
          <w:p w14:paraId="224F01DD" w14:textId="77777777" w:rsidR="00CD32EF" w:rsidRPr="00CD32EF" w:rsidRDefault="00CD32EF" w:rsidP="00CD32EF"/>
        </w:tc>
      </w:tr>
      <w:tr w:rsidR="00CD32EF" w:rsidRPr="00CD32EF" w14:paraId="0D14EC66" w14:textId="77777777" w:rsidTr="004E69F3">
        <w:trPr>
          <w:trHeight w:val="582"/>
        </w:trPr>
        <w:tc>
          <w:tcPr>
            <w:tcW w:w="5442" w:type="dxa"/>
            <w:shd w:val="clear" w:color="auto" w:fill="D1DEFD" w:themeFill="accent3" w:themeFillTint="33"/>
          </w:tcPr>
          <w:p w14:paraId="4A8B6128" w14:textId="29733EDF" w:rsidR="00CD32EF" w:rsidRPr="00CD32EF" w:rsidRDefault="00CD32EF" w:rsidP="00CD32EF">
            <w:pPr>
              <w:rPr>
                <w:b/>
              </w:rPr>
            </w:pPr>
            <w:r w:rsidRPr="00CD32EF">
              <w:rPr>
                <w:b/>
              </w:rPr>
              <w:t xml:space="preserve">Next </w:t>
            </w:r>
            <w:r w:rsidR="001B69FB">
              <w:rPr>
                <w:b/>
              </w:rPr>
              <w:t>r</w:t>
            </w:r>
            <w:r w:rsidRPr="00CD32EF">
              <w:rPr>
                <w:b/>
              </w:rPr>
              <w:t>eview date:</w:t>
            </w:r>
          </w:p>
        </w:tc>
        <w:tc>
          <w:tcPr>
            <w:tcW w:w="9437" w:type="dxa"/>
          </w:tcPr>
          <w:p w14:paraId="601B2986" w14:textId="111C792A" w:rsidR="00CD32EF" w:rsidRPr="00BE2B8F" w:rsidRDefault="00BE2B8F" w:rsidP="00CD32EF">
            <w:pPr>
              <w:rPr>
                <w:bCs/>
              </w:rPr>
            </w:pPr>
            <w:r w:rsidRPr="00BE2B8F">
              <w:rPr>
                <w:bCs/>
              </w:rPr>
              <w:t>At call close</w:t>
            </w:r>
            <w:r>
              <w:rPr>
                <w:bCs/>
              </w:rPr>
              <w:t xml:space="preserve"> (25 June 2024)</w:t>
            </w:r>
          </w:p>
        </w:tc>
      </w:tr>
    </w:tbl>
    <w:p w14:paraId="43CE72B6" w14:textId="77777777" w:rsidR="007C366B" w:rsidRDefault="007C366B" w:rsidP="007C366B"/>
    <w:tbl>
      <w:tblPr>
        <w:tblStyle w:val="TableGrid"/>
        <w:tblW w:w="14879" w:type="dxa"/>
        <w:tblLook w:val="04A0" w:firstRow="1" w:lastRow="0" w:firstColumn="1" w:lastColumn="0" w:noHBand="0" w:noVBand="1"/>
      </w:tblPr>
      <w:tblGrid>
        <w:gridCol w:w="5382"/>
        <w:gridCol w:w="9497"/>
      </w:tblGrid>
      <w:tr w:rsidR="008A1D09" w:rsidRPr="008A1D09" w14:paraId="3903D10F" w14:textId="77777777" w:rsidTr="00506CD0">
        <w:trPr>
          <w:trHeight w:val="486"/>
        </w:trPr>
        <w:tc>
          <w:tcPr>
            <w:tcW w:w="5382" w:type="dxa"/>
            <w:shd w:val="clear" w:color="auto" w:fill="D1DEFD" w:themeFill="accent3" w:themeFillTint="33"/>
          </w:tcPr>
          <w:p w14:paraId="353F9B1C" w14:textId="77777777" w:rsidR="008A1D09" w:rsidRPr="008A1D09" w:rsidRDefault="008A1D09" w:rsidP="008A1D09">
            <w:pPr>
              <w:rPr>
                <w:b/>
              </w:rPr>
            </w:pPr>
            <w:r w:rsidRPr="008A1D09">
              <w:rPr>
                <w:b/>
              </w:rPr>
              <w:t>Will this EIA be published? * Yes/Not required</w:t>
            </w:r>
          </w:p>
          <w:p w14:paraId="642E42F5" w14:textId="77777777" w:rsidR="008A1D09" w:rsidRPr="008A1D09" w:rsidRDefault="008A1D09" w:rsidP="008A1D09">
            <w:pPr>
              <w:rPr>
                <w:b/>
              </w:rPr>
            </w:pPr>
          </w:p>
        </w:tc>
        <w:tc>
          <w:tcPr>
            <w:tcW w:w="9497" w:type="dxa"/>
          </w:tcPr>
          <w:p w14:paraId="5C620FC5" w14:textId="024AB517" w:rsidR="008A1D09" w:rsidRPr="008A1D09" w:rsidRDefault="008A1D09" w:rsidP="00BE2B8F">
            <w:pPr>
              <w:rPr>
                <w:bCs/>
              </w:rPr>
            </w:pPr>
            <w:r w:rsidRPr="008A1D09">
              <w:rPr>
                <w:bCs/>
              </w:rPr>
              <w:t>Yes</w:t>
            </w:r>
          </w:p>
        </w:tc>
      </w:tr>
      <w:tr w:rsidR="008A1D09" w:rsidRPr="008A1D09" w14:paraId="7FFBF3FA" w14:textId="77777777" w:rsidTr="008E3B5B">
        <w:trPr>
          <w:trHeight w:val="839"/>
        </w:trPr>
        <w:tc>
          <w:tcPr>
            <w:tcW w:w="5382" w:type="dxa"/>
            <w:shd w:val="clear" w:color="auto" w:fill="D1DEFD" w:themeFill="accent3" w:themeFillTint="33"/>
          </w:tcPr>
          <w:p w14:paraId="6277F3C7" w14:textId="77777777" w:rsidR="008A1D09" w:rsidRPr="008A1D09" w:rsidRDefault="008A1D09" w:rsidP="008A1D09">
            <w:pPr>
              <w:rPr>
                <w:b/>
              </w:rPr>
            </w:pPr>
            <w:r w:rsidRPr="008A1D09">
              <w:rPr>
                <w:b/>
              </w:rPr>
              <w:t>Point of contact:</w:t>
            </w:r>
          </w:p>
        </w:tc>
        <w:tc>
          <w:tcPr>
            <w:tcW w:w="9497" w:type="dxa"/>
          </w:tcPr>
          <w:p w14:paraId="2ED01680" w14:textId="46E25377" w:rsidR="008A1D09" w:rsidRPr="008A1D09" w:rsidRDefault="00BE2B8F" w:rsidP="008A1D09">
            <w:pPr>
              <w:rPr>
                <w:bCs/>
              </w:rPr>
            </w:pPr>
            <w:r>
              <w:rPr>
                <w:bCs/>
              </w:rPr>
              <w:t xml:space="preserve">Emily </w:t>
            </w:r>
            <w:r w:rsidR="003707C8">
              <w:rPr>
                <w:bCs/>
              </w:rPr>
              <w:t>Finnegan (Emily.finnegan@bbsrc.ukri.org)</w:t>
            </w:r>
            <w:r w:rsidR="008A1D09" w:rsidRPr="008A1D09">
              <w:rPr>
                <w:bCs/>
              </w:rPr>
              <w:t xml:space="preserve"> </w:t>
            </w:r>
          </w:p>
        </w:tc>
      </w:tr>
      <w:tr w:rsidR="008A1D09" w:rsidRPr="008A1D09" w14:paraId="7C2C698F" w14:textId="77777777" w:rsidTr="008E3B5B">
        <w:trPr>
          <w:trHeight w:val="444"/>
        </w:trPr>
        <w:tc>
          <w:tcPr>
            <w:tcW w:w="5382" w:type="dxa"/>
            <w:shd w:val="clear" w:color="auto" w:fill="D1DEFD" w:themeFill="accent3" w:themeFillTint="33"/>
          </w:tcPr>
          <w:p w14:paraId="7FCBC8F5" w14:textId="77777777" w:rsidR="008A1D09" w:rsidRPr="008A1D09" w:rsidRDefault="008A1D09" w:rsidP="008A1D09">
            <w:pPr>
              <w:rPr>
                <w:b/>
              </w:rPr>
            </w:pPr>
            <w:r w:rsidRPr="008A1D09">
              <w:rPr>
                <w:b/>
              </w:rPr>
              <w:t>Responsible owner:</w:t>
            </w:r>
          </w:p>
          <w:p w14:paraId="47E96B0B" w14:textId="77777777" w:rsidR="008A1D09" w:rsidRPr="008A1D09" w:rsidRDefault="008A1D09" w:rsidP="008A1D09">
            <w:pPr>
              <w:rPr>
                <w:bCs/>
              </w:rPr>
            </w:pPr>
          </w:p>
        </w:tc>
        <w:tc>
          <w:tcPr>
            <w:tcW w:w="9497" w:type="dxa"/>
          </w:tcPr>
          <w:p w14:paraId="60BC7191" w14:textId="243CB881" w:rsidR="008A1D09" w:rsidRPr="008A1D09" w:rsidRDefault="00C730D5" w:rsidP="008A1D09">
            <w:pPr>
              <w:rPr>
                <w:bCs/>
              </w:rPr>
            </w:pPr>
            <w:r>
              <w:rPr>
                <w:bCs/>
              </w:rPr>
              <w:t>Emily Finnegan</w:t>
            </w:r>
          </w:p>
          <w:p w14:paraId="385DA915" w14:textId="77777777" w:rsidR="008A1D09" w:rsidRPr="008A1D09" w:rsidRDefault="008A1D09" w:rsidP="008A1D09">
            <w:pPr>
              <w:rPr>
                <w:bCs/>
              </w:rPr>
            </w:pPr>
          </w:p>
        </w:tc>
      </w:tr>
      <w:tr w:rsidR="008A1D09" w:rsidRPr="008A1D09" w14:paraId="40BBFF79" w14:textId="77777777" w:rsidTr="008E3B5B">
        <w:trPr>
          <w:trHeight w:val="444"/>
        </w:trPr>
        <w:tc>
          <w:tcPr>
            <w:tcW w:w="5382" w:type="dxa"/>
            <w:shd w:val="clear" w:color="auto" w:fill="D1DEFD" w:themeFill="accent3" w:themeFillTint="33"/>
          </w:tcPr>
          <w:p w14:paraId="4EDA9879" w14:textId="77777777" w:rsidR="008A1D09" w:rsidRPr="008A1D09" w:rsidDel="00520126" w:rsidRDefault="008A1D09" w:rsidP="008A1D09">
            <w:pPr>
              <w:rPr>
                <w:b/>
              </w:rPr>
            </w:pPr>
            <w:r w:rsidRPr="008A1D09">
              <w:rPr>
                <w:b/>
              </w:rPr>
              <w:t>Accountable owner:</w:t>
            </w:r>
          </w:p>
        </w:tc>
        <w:tc>
          <w:tcPr>
            <w:tcW w:w="9497" w:type="dxa"/>
          </w:tcPr>
          <w:p w14:paraId="331827CF" w14:textId="54A79ACC" w:rsidR="008A1D09" w:rsidRPr="008A1D09" w:rsidRDefault="00C730D5" w:rsidP="008A1D09">
            <w:pPr>
              <w:rPr>
                <w:bCs/>
              </w:rPr>
            </w:pPr>
            <w:r>
              <w:rPr>
                <w:bCs/>
              </w:rPr>
              <w:t>Clare Bhunnoo</w:t>
            </w:r>
            <w:r w:rsidR="00B5351A">
              <w:rPr>
                <w:bCs/>
              </w:rPr>
              <w:t xml:space="preserve"> (Clare.Bhunnoo@bbsrc.ukri.org)</w:t>
            </w:r>
          </w:p>
        </w:tc>
      </w:tr>
      <w:tr w:rsidR="008A1D09" w:rsidRPr="008A1D09" w14:paraId="318BE7E9" w14:textId="77777777" w:rsidTr="008E3B5B">
        <w:trPr>
          <w:trHeight w:val="943"/>
        </w:trPr>
        <w:tc>
          <w:tcPr>
            <w:tcW w:w="5382" w:type="dxa"/>
            <w:shd w:val="clear" w:color="auto" w:fill="D1DEFD" w:themeFill="accent3" w:themeFillTint="33"/>
          </w:tcPr>
          <w:p w14:paraId="0744A58B" w14:textId="32F4BC84" w:rsidR="008A1D09" w:rsidRPr="008A1D09" w:rsidRDefault="008A1D09" w:rsidP="008A1D09">
            <w:pPr>
              <w:rPr>
                <w:b/>
              </w:rPr>
            </w:pPr>
            <w:r w:rsidRPr="008A1D09">
              <w:rPr>
                <w:b/>
              </w:rPr>
              <w:t>Signed off by</w:t>
            </w:r>
            <w:r w:rsidR="00726B57">
              <w:rPr>
                <w:b/>
              </w:rPr>
              <w:t xml:space="preserve"> (name and date)</w:t>
            </w:r>
            <w:r w:rsidRPr="008A1D09">
              <w:rPr>
                <w:b/>
              </w:rPr>
              <w:t>:</w:t>
            </w:r>
          </w:p>
          <w:p w14:paraId="6F8F7E24" w14:textId="31702AAC" w:rsidR="008A1D09" w:rsidRPr="008A1D09" w:rsidRDefault="008A1D09" w:rsidP="008A1D09">
            <w:pPr>
              <w:rPr>
                <w:bCs/>
              </w:rPr>
            </w:pPr>
          </w:p>
        </w:tc>
        <w:tc>
          <w:tcPr>
            <w:tcW w:w="9497" w:type="dxa"/>
          </w:tcPr>
          <w:p w14:paraId="6EE71134" w14:textId="626CC25F" w:rsidR="008A1D09" w:rsidRPr="008A1D09" w:rsidRDefault="00BC166D" w:rsidP="008A1D09">
            <w:pPr>
              <w:rPr>
                <w:b/>
              </w:rPr>
            </w:pPr>
            <w:r>
              <w:rPr>
                <w:b/>
              </w:rPr>
              <w:t xml:space="preserve">Clare Bhunnoo 28/03/2024 </w:t>
            </w:r>
          </w:p>
        </w:tc>
      </w:tr>
      <w:tr w:rsidR="008A1D09" w:rsidRPr="008A1D09" w14:paraId="69669229" w14:textId="77777777" w:rsidTr="008E3B5B">
        <w:trPr>
          <w:trHeight w:val="897"/>
        </w:trPr>
        <w:tc>
          <w:tcPr>
            <w:tcW w:w="14879" w:type="dxa"/>
            <w:gridSpan w:val="2"/>
            <w:shd w:val="clear" w:color="auto" w:fill="D1DEFD" w:themeFill="accent3" w:themeFillTint="33"/>
          </w:tcPr>
          <w:p w14:paraId="100590AD" w14:textId="77777777" w:rsidR="004A28E1" w:rsidRPr="00272E8D" w:rsidRDefault="004A28E1" w:rsidP="004E69F3">
            <w:pPr>
              <w:jc w:val="center"/>
              <w:rPr>
                <w:b/>
              </w:rPr>
            </w:pPr>
          </w:p>
          <w:p w14:paraId="6C0A744A" w14:textId="0C7F7058" w:rsidR="0058602B" w:rsidRPr="00272E8D" w:rsidRDefault="00365F49" w:rsidP="004E69F3">
            <w:pPr>
              <w:jc w:val="center"/>
              <w:rPr>
                <w:b/>
              </w:rPr>
            </w:pPr>
            <w:r w:rsidRPr="00272E8D">
              <w:rPr>
                <w:b/>
              </w:rPr>
              <w:t xml:space="preserve">Before </w:t>
            </w:r>
            <w:r w:rsidR="009D0F8E" w:rsidRPr="00272E8D">
              <w:rPr>
                <w:b/>
              </w:rPr>
              <w:t xml:space="preserve">publishing </w:t>
            </w:r>
            <w:r w:rsidR="0058602B" w:rsidRPr="00272E8D">
              <w:rPr>
                <w:b/>
              </w:rPr>
              <w:t>or</w:t>
            </w:r>
            <w:r w:rsidR="009D0F8E" w:rsidRPr="00272E8D">
              <w:rPr>
                <w:b/>
              </w:rPr>
              <w:t xml:space="preserve"> archiving your EIA</w:t>
            </w:r>
            <w:r w:rsidR="0058602B" w:rsidRPr="00272E8D">
              <w:rPr>
                <w:b/>
              </w:rPr>
              <w:t>, please remove any sensitive information.</w:t>
            </w:r>
          </w:p>
          <w:p w14:paraId="739A8A0B" w14:textId="77777777" w:rsidR="00177E62" w:rsidRPr="00272E8D" w:rsidRDefault="00177E62" w:rsidP="004E69F3">
            <w:pPr>
              <w:jc w:val="center"/>
              <w:rPr>
                <w:b/>
              </w:rPr>
            </w:pPr>
          </w:p>
          <w:p w14:paraId="5F4C9E66" w14:textId="2397AB5A" w:rsidR="008A1D09" w:rsidRPr="00272E8D" w:rsidRDefault="008A1D09" w:rsidP="004E69F3">
            <w:pPr>
              <w:jc w:val="center"/>
              <w:rPr>
                <w:b/>
              </w:rPr>
            </w:pPr>
            <w:r w:rsidRPr="00272E8D">
              <w:rPr>
                <w:b/>
              </w:rPr>
              <w:t xml:space="preserve">Completed EIAs should be emailed to </w:t>
            </w:r>
            <w:r w:rsidR="001A6FE6" w:rsidRPr="00272E8D">
              <w:rPr>
                <w:b/>
              </w:rPr>
              <w:t xml:space="preserve">your </w:t>
            </w:r>
            <w:r w:rsidRPr="00272E8D">
              <w:rPr>
                <w:b/>
              </w:rPr>
              <w:t xml:space="preserve">council </w:t>
            </w:r>
            <w:r w:rsidR="00C62BF4">
              <w:rPr>
                <w:b/>
              </w:rPr>
              <w:t xml:space="preserve">EDI team </w:t>
            </w:r>
            <w:r w:rsidRPr="00272E8D">
              <w:rPr>
                <w:b/>
              </w:rPr>
              <w:t xml:space="preserve">and </w:t>
            </w:r>
            <w:r w:rsidR="00272E8D" w:rsidRPr="00272E8D">
              <w:rPr>
                <w:b/>
              </w:rPr>
              <w:t>shared with the central team</w:t>
            </w:r>
            <w:r w:rsidRPr="00272E8D">
              <w:rPr>
                <w:b/>
              </w:rPr>
              <w:t xml:space="preserve"> via </w:t>
            </w:r>
            <w:hyperlink r:id="rId23" w:history="1">
              <w:r w:rsidR="00FA5553" w:rsidRPr="00272E8D">
                <w:rPr>
                  <w:rStyle w:val="Hyperlink"/>
                  <w:b/>
                  <w:sz w:val="24"/>
                  <w:szCs w:val="24"/>
                </w:rPr>
                <w:t>this form</w:t>
              </w:r>
            </w:hyperlink>
          </w:p>
          <w:p w14:paraId="54E9CFE6" w14:textId="77777777" w:rsidR="00D10C0E" w:rsidRPr="00272E8D" w:rsidRDefault="00D10C0E" w:rsidP="004E69F3">
            <w:pPr>
              <w:jc w:val="center"/>
              <w:rPr>
                <w:b/>
              </w:rPr>
            </w:pPr>
          </w:p>
          <w:p w14:paraId="3B62AC3E" w14:textId="55C6B1D0" w:rsidR="00D10C0E" w:rsidRPr="00272E8D" w:rsidRDefault="00495461" w:rsidP="004E69F3">
            <w:pPr>
              <w:jc w:val="center"/>
              <w:rPr>
                <w:b/>
              </w:rPr>
            </w:pPr>
            <w:r w:rsidRPr="00272E8D">
              <w:rPr>
                <w:b/>
              </w:rPr>
              <w:t xml:space="preserve">EIAs for </w:t>
            </w:r>
            <w:r w:rsidRPr="00272E8D">
              <w:rPr>
                <w:b/>
                <w:lang w:val="en-US"/>
              </w:rPr>
              <w:t xml:space="preserve">ODA and non-ODA ISPF </w:t>
            </w:r>
            <w:proofErr w:type="spellStart"/>
            <w:r w:rsidRPr="00272E8D">
              <w:rPr>
                <w:b/>
                <w:lang w:val="en-US"/>
              </w:rPr>
              <w:t>programmes</w:t>
            </w:r>
            <w:proofErr w:type="spellEnd"/>
            <w:r w:rsidRPr="00272E8D">
              <w:rPr>
                <w:b/>
                <w:lang w:val="en-US"/>
              </w:rPr>
              <w:t xml:space="preserve"> should be emailed to: </w:t>
            </w:r>
            <w:r w:rsidR="0063316D" w:rsidRPr="00272E8D">
              <w:rPr>
                <w:b/>
                <w:lang w:val="en-US"/>
              </w:rPr>
              <w:t>ISPF@ukri.org</w:t>
            </w:r>
          </w:p>
          <w:p w14:paraId="7E385C17" w14:textId="77777777" w:rsidR="00177E62" w:rsidRDefault="00177E62" w:rsidP="004E69F3">
            <w:pPr>
              <w:jc w:val="center"/>
              <w:rPr>
                <w:b/>
                <w:highlight w:val="yellow"/>
              </w:rPr>
            </w:pPr>
          </w:p>
          <w:p w14:paraId="19659735" w14:textId="3721E0AD" w:rsidR="008A1D09" w:rsidRPr="008A1D09" w:rsidRDefault="008A1D09" w:rsidP="004E69F3">
            <w:pPr>
              <w:jc w:val="center"/>
              <w:rPr>
                <w:bCs/>
                <w:i/>
                <w:iCs/>
                <w:highlight w:val="yellow"/>
              </w:rPr>
            </w:pPr>
          </w:p>
        </w:tc>
      </w:tr>
    </w:tbl>
    <w:p w14:paraId="77F818F1" w14:textId="77777777" w:rsidR="00CD32EF" w:rsidRDefault="00CD32EF" w:rsidP="007C366B"/>
    <w:p w14:paraId="370B1F03" w14:textId="21F8A875" w:rsidR="008A1D09" w:rsidRDefault="00A327BC" w:rsidP="00A327BC">
      <w:pPr>
        <w:pStyle w:val="Heading2"/>
      </w:pPr>
      <w:bookmarkStart w:id="10" w:name="_Toc126841212"/>
      <w:r>
        <w:lastRenderedPageBreak/>
        <w:t xml:space="preserve">Change </w:t>
      </w:r>
      <w:proofErr w:type="gramStart"/>
      <w:r>
        <w:t>log</w:t>
      </w:r>
      <w:bookmarkEnd w:id="10"/>
      <w:proofErr w:type="gramEnd"/>
    </w:p>
    <w:p w14:paraId="244574C9" w14:textId="77777777" w:rsidR="004E69F3" w:rsidRPr="004E69F3" w:rsidRDefault="004E69F3" w:rsidP="004E69F3"/>
    <w:tbl>
      <w:tblPr>
        <w:tblW w:w="557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620"/>
        <w:gridCol w:w="1756"/>
        <w:gridCol w:w="1098"/>
        <w:gridCol w:w="9409"/>
      </w:tblGrid>
      <w:tr w:rsidR="00A327BC" w:rsidRPr="003C013C" w14:paraId="396A1F06" w14:textId="77777777" w:rsidTr="008E3B5B">
        <w:trPr>
          <w:cantSplit/>
          <w:tblHeader/>
        </w:trPr>
        <w:tc>
          <w:tcPr>
            <w:tcW w:w="880" w:type="pct"/>
            <w:shd w:val="clear" w:color="auto" w:fill="D1DEFD" w:themeFill="accent3" w:themeFillTint="33"/>
          </w:tcPr>
          <w:p w14:paraId="60E02A63" w14:textId="77777777" w:rsidR="00A327BC" w:rsidRPr="003C013C" w:rsidRDefault="00A327BC" w:rsidP="00823025">
            <w:pPr>
              <w:rPr>
                <w:rFonts w:cs="Arial"/>
                <w:b/>
                <w:color w:val="000000" w:themeColor="text1"/>
              </w:rPr>
            </w:pPr>
            <w:r w:rsidRPr="003C013C">
              <w:rPr>
                <w:rFonts w:cs="Arial"/>
                <w:b/>
                <w:color w:val="000000" w:themeColor="text1"/>
              </w:rPr>
              <w:t>Name</w:t>
            </w:r>
          </w:p>
        </w:tc>
        <w:tc>
          <w:tcPr>
            <w:tcW w:w="590" w:type="pct"/>
            <w:shd w:val="clear" w:color="auto" w:fill="D1DEFD" w:themeFill="accent3" w:themeFillTint="33"/>
          </w:tcPr>
          <w:p w14:paraId="12C6EFB5" w14:textId="77777777" w:rsidR="00A327BC" w:rsidRPr="003C013C" w:rsidRDefault="00A327BC" w:rsidP="00823025">
            <w:pPr>
              <w:rPr>
                <w:rFonts w:cs="Arial"/>
                <w:b/>
                <w:color w:val="000000" w:themeColor="text1"/>
              </w:rPr>
            </w:pPr>
            <w:r w:rsidRPr="003C013C">
              <w:rPr>
                <w:rFonts w:cs="Arial"/>
                <w:b/>
                <w:color w:val="000000" w:themeColor="text1"/>
              </w:rPr>
              <w:t>Date</w:t>
            </w:r>
          </w:p>
        </w:tc>
        <w:tc>
          <w:tcPr>
            <w:tcW w:w="369" w:type="pct"/>
            <w:shd w:val="clear" w:color="auto" w:fill="D1DEFD" w:themeFill="accent3" w:themeFillTint="33"/>
          </w:tcPr>
          <w:p w14:paraId="74E6C120" w14:textId="77777777" w:rsidR="00A327BC" w:rsidRPr="003C013C" w:rsidRDefault="00A327BC" w:rsidP="00823025">
            <w:pPr>
              <w:rPr>
                <w:rFonts w:cs="Arial"/>
                <w:b/>
                <w:color w:val="000000" w:themeColor="text1"/>
              </w:rPr>
            </w:pPr>
            <w:r w:rsidRPr="003C013C">
              <w:rPr>
                <w:rFonts w:cs="Arial"/>
                <w:b/>
                <w:color w:val="000000" w:themeColor="text1"/>
              </w:rPr>
              <w:t>Version</w:t>
            </w:r>
          </w:p>
        </w:tc>
        <w:tc>
          <w:tcPr>
            <w:tcW w:w="3161" w:type="pct"/>
            <w:shd w:val="clear" w:color="auto" w:fill="D1DEFD" w:themeFill="accent3" w:themeFillTint="33"/>
          </w:tcPr>
          <w:p w14:paraId="538BE8AD" w14:textId="77777777" w:rsidR="00A327BC" w:rsidRPr="003C013C" w:rsidRDefault="00A327BC" w:rsidP="00823025">
            <w:pPr>
              <w:rPr>
                <w:rFonts w:cs="Arial"/>
                <w:b/>
                <w:color w:val="000000" w:themeColor="text1"/>
              </w:rPr>
            </w:pPr>
            <w:r w:rsidRPr="003C013C">
              <w:rPr>
                <w:rFonts w:cs="Arial"/>
                <w:b/>
                <w:color w:val="000000" w:themeColor="text1"/>
              </w:rPr>
              <w:t>Change</w:t>
            </w:r>
          </w:p>
        </w:tc>
      </w:tr>
      <w:tr w:rsidR="00A327BC" w:rsidRPr="003C013C" w14:paraId="3A09C79F" w14:textId="77777777" w:rsidTr="008E3B5B">
        <w:trPr>
          <w:cantSplit/>
        </w:trPr>
        <w:tc>
          <w:tcPr>
            <w:tcW w:w="880" w:type="pct"/>
          </w:tcPr>
          <w:p w14:paraId="3734EB6B" w14:textId="016357F9" w:rsidR="00A327BC" w:rsidRPr="003C013C" w:rsidRDefault="00A327BC" w:rsidP="00823025">
            <w:pPr>
              <w:rPr>
                <w:rFonts w:cs="Arial"/>
                <w:color w:val="000000" w:themeColor="text1"/>
              </w:rPr>
            </w:pPr>
          </w:p>
        </w:tc>
        <w:tc>
          <w:tcPr>
            <w:tcW w:w="590" w:type="pct"/>
          </w:tcPr>
          <w:p w14:paraId="0438313B" w14:textId="77777777" w:rsidR="00A327BC" w:rsidRPr="003C013C" w:rsidRDefault="00A327BC" w:rsidP="00823025">
            <w:pPr>
              <w:rPr>
                <w:rFonts w:cs="Arial"/>
                <w:color w:val="000000" w:themeColor="text1"/>
              </w:rPr>
            </w:pPr>
          </w:p>
        </w:tc>
        <w:tc>
          <w:tcPr>
            <w:tcW w:w="369" w:type="pct"/>
          </w:tcPr>
          <w:p w14:paraId="7AC5513D" w14:textId="77777777" w:rsidR="00A327BC" w:rsidRPr="003C013C" w:rsidRDefault="00A327BC" w:rsidP="00823025">
            <w:pPr>
              <w:rPr>
                <w:rFonts w:cs="Arial"/>
                <w:color w:val="000000" w:themeColor="text1"/>
              </w:rPr>
            </w:pPr>
            <w:r w:rsidRPr="003C013C">
              <w:rPr>
                <w:rFonts w:cs="Arial"/>
                <w:color w:val="000000" w:themeColor="text1"/>
              </w:rPr>
              <w:t>1</w:t>
            </w:r>
          </w:p>
        </w:tc>
        <w:tc>
          <w:tcPr>
            <w:tcW w:w="3161" w:type="pct"/>
          </w:tcPr>
          <w:p w14:paraId="7ECA82D3" w14:textId="487EF7A4" w:rsidR="00A327BC" w:rsidRPr="003C013C" w:rsidRDefault="00A327BC" w:rsidP="00823025">
            <w:pPr>
              <w:rPr>
                <w:rFonts w:cs="Arial"/>
                <w:color w:val="000000" w:themeColor="text1"/>
              </w:rPr>
            </w:pPr>
          </w:p>
        </w:tc>
      </w:tr>
      <w:tr w:rsidR="00A92AF3" w:rsidRPr="003C013C" w14:paraId="4F670B1D" w14:textId="77777777" w:rsidTr="008E3B5B">
        <w:trPr>
          <w:cantSplit/>
        </w:trPr>
        <w:tc>
          <w:tcPr>
            <w:tcW w:w="880" w:type="pct"/>
          </w:tcPr>
          <w:p w14:paraId="380E78D4" w14:textId="77777777" w:rsidR="00A92AF3" w:rsidRPr="003C013C" w:rsidRDefault="00A92AF3" w:rsidP="00823025">
            <w:pPr>
              <w:rPr>
                <w:rFonts w:cs="Arial"/>
                <w:color w:val="000000" w:themeColor="text1"/>
              </w:rPr>
            </w:pPr>
          </w:p>
        </w:tc>
        <w:tc>
          <w:tcPr>
            <w:tcW w:w="590" w:type="pct"/>
          </w:tcPr>
          <w:p w14:paraId="1E3E2CF7" w14:textId="77777777" w:rsidR="00A92AF3" w:rsidRPr="003C013C" w:rsidRDefault="00A92AF3" w:rsidP="00823025">
            <w:pPr>
              <w:rPr>
                <w:rFonts w:cs="Arial"/>
                <w:color w:val="000000" w:themeColor="text1"/>
              </w:rPr>
            </w:pPr>
          </w:p>
        </w:tc>
        <w:tc>
          <w:tcPr>
            <w:tcW w:w="369" w:type="pct"/>
          </w:tcPr>
          <w:p w14:paraId="524FD24D" w14:textId="5E8D1865" w:rsidR="00A92AF3" w:rsidRPr="003C013C" w:rsidRDefault="005D011D" w:rsidP="00823025">
            <w:pPr>
              <w:rPr>
                <w:rFonts w:cs="Arial"/>
                <w:color w:val="000000" w:themeColor="text1"/>
              </w:rPr>
            </w:pPr>
            <w:r>
              <w:rPr>
                <w:rFonts w:cs="Arial"/>
                <w:color w:val="000000" w:themeColor="text1"/>
              </w:rPr>
              <w:t>2</w:t>
            </w:r>
          </w:p>
        </w:tc>
        <w:tc>
          <w:tcPr>
            <w:tcW w:w="3161" w:type="pct"/>
          </w:tcPr>
          <w:p w14:paraId="5B43B441" w14:textId="7886902D" w:rsidR="00A92AF3" w:rsidRDefault="00A92AF3" w:rsidP="00823025">
            <w:pPr>
              <w:rPr>
                <w:rFonts w:cs="Arial"/>
                <w:color w:val="000000" w:themeColor="text1"/>
              </w:rPr>
            </w:pPr>
          </w:p>
        </w:tc>
      </w:tr>
      <w:tr w:rsidR="00CE3404" w:rsidRPr="003C013C" w14:paraId="391AC9F8" w14:textId="77777777" w:rsidTr="008E3B5B">
        <w:trPr>
          <w:cantSplit/>
        </w:trPr>
        <w:tc>
          <w:tcPr>
            <w:tcW w:w="880" w:type="pct"/>
          </w:tcPr>
          <w:p w14:paraId="7BC8F701" w14:textId="77777777" w:rsidR="00CE3404" w:rsidRPr="003C013C" w:rsidRDefault="00CE3404" w:rsidP="00823025">
            <w:pPr>
              <w:rPr>
                <w:rFonts w:cs="Arial"/>
                <w:color w:val="000000" w:themeColor="text1"/>
              </w:rPr>
            </w:pPr>
          </w:p>
        </w:tc>
        <w:tc>
          <w:tcPr>
            <w:tcW w:w="590" w:type="pct"/>
          </w:tcPr>
          <w:p w14:paraId="67B8DD5E" w14:textId="77777777" w:rsidR="00CE3404" w:rsidRPr="003C013C" w:rsidRDefault="00CE3404" w:rsidP="00823025">
            <w:pPr>
              <w:rPr>
                <w:rFonts w:cs="Arial"/>
                <w:color w:val="000000" w:themeColor="text1"/>
              </w:rPr>
            </w:pPr>
          </w:p>
        </w:tc>
        <w:tc>
          <w:tcPr>
            <w:tcW w:w="369" w:type="pct"/>
          </w:tcPr>
          <w:p w14:paraId="3A1150AA" w14:textId="56D78F5C" w:rsidR="00CE3404" w:rsidRPr="003C013C" w:rsidRDefault="00611994" w:rsidP="00823025">
            <w:pPr>
              <w:rPr>
                <w:rFonts w:cs="Arial"/>
                <w:color w:val="000000" w:themeColor="text1"/>
              </w:rPr>
            </w:pPr>
            <w:r>
              <w:rPr>
                <w:rFonts w:cs="Arial"/>
                <w:color w:val="000000" w:themeColor="text1"/>
              </w:rPr>
              <w:t>3</w:t>
            </w:r>
          </w:p>
        </w:tc>
        <w:tc>
          <w:tcPr>
            <w:tcW w:w="3161" w:type="pct"/>
          </w:tcPr>
          <w:p w14:paraId="45506AB7" w14:textId="5D56045C" w:rsidR="00CE3404" w:rsidRDefault="00CE3404" w:rsidP="00823025">
            <w:pPr>
              <w:rPr>
                <w:rFonts w:cs="Arial"/>
                <w:color w:val="000000" w:themeColor="text1"/>
              </w:rPr>
            </w:pPr>
          </w:p>
        </w:tc>
      </w:tr>
    </w:tbl>
    <w:p w14:paraId="0F162D9A" w14:textId="7EB19594" w:rsidR="0046653F" w:rsidRDefault="0046653F" w:rsidP="007C366B"/>
    <w:p w14:paraId="7DC44E24" w14:textId="47FC1383" w:rsidR="0046653F" w:rsidRDefault="0046653F">
      <w:r>
        <w:rPr>
          <w:bCs/>
          <w:color w:val="auto"/>
        </w:rPr>
        <w:t>Continued below…</w:t>
      </w:r>
      <w:r>
        <w:br w:type="page"/>
      </w:r>
    </w:p>
    <w:p w14:paraId="24C6EE52" w14:textId="77777777" w:rsidR="00A327BC" w:rsidRDefault="00A327BC" w:rsidP="007C366B"/>
    <w:p w14:paraId="18727E8B" w14:textId="7CA74439" w:rsidR="004E69F3" w:rsidRPr="004E69F3" w:rsidRDefault="00A327BC" w:rsidP="004E69F3">
      <w:pPr>
        <w:pStyle w:val="Heading2"/>
      </w:pPr>
      <w:bookmarkStart w:id="11" w:name="_Toc126841213"/>
      <w:r>
        <w:t>Action plan</w:t>
      </w:r>
      <w:bookmarkEnd w:id="11"/>
    </w:p>
    <w:p w14:paraId="0393B77B" w14:textId="77777777" w:rsidR="004E69F3" w:rsidRDefault="004E69F3" w:rsidP="004E69F3">
      <w:pPr>
        <w:rPr>
          <w:bCs/>
        </w:rPr>
      </w:pPr>
      <w:r w:rsidRPr="004E69F3">
        <w:rPr>
          <w:bCs/>
        </w:rPr>
        <w:t>Use the table below to define the actions you intend to take (or have taken) to address the indications of negative impact you have identified or to promote equality. Actions should be SMART (Specific, Measurable, Achievable, Realistic, Time-bound).</w:t>
      </w:r>
    </w:p>
    <w:p w14:paraId="3EDBCD63" w14:textId="77777777" w:rsidR="004E69F3" w:rsidRPr="004E69F3" w:rsidRDefault="004E69F3" w:rsidP="004E69F3">
      <w:pPr>
        <w:rPr>
          <w:bCs/>
        </w:rPr>
      </w:pPr>
    </w:p>
    <w:tbl>
      <w:tblPr>
        <w:tblStyle w:val="TableGrid"/>
        <w:tblW w:w="14673" w:type="dxa"/>
        <w:tblLook w:val="04A0" w:firstRow="1" w:lastRow="0" w:firstColumn="1" w:lastColumn="0" w:noHBand="0" w:noVBand="1"/>
      </w:tblPr>
      <w:tblGrid>
        <w:gridCol w:w="2934"/>
        <w:gridCol w:w="2934"/>
        <w:gridCol w:w="2935"/>
        <w:gridCol w:w="2935"/>
        <w:gridCol w:w="2935"/>
      </w:tblGrid>
      <w:tr w:rsidR="004E69F3" w:rsidRPr="004E69F3" w14:paraId="5383860E" w14:textId="77777777" w:rsidTr="004E69F3">
        <w:trPr>
          <w:trHeight w:val="586"/>
        </w:trPr>
        <w:tc>
          <w:tcPr>
            <w:tcW w:w="2934" w:type="dxa"/>
            <w:shd w:val="clear" w:color="auto" w:fill="D1DEFD" w:themeFill="accent3" w:themeFillTint="33"/>
          </w:tcPr>
          <w:p w14:paraId="54F2AA6C" w14:textId="77777777" w:rsidR="004E69F3" w:rsidRPr="004E69F3" w:rsidRDefault="004E69F3" w:rsidP="004E69F3">
            <w:pPr>
              <w:rPr>
                <w:b/>
                <w:bCs/>
              </w:rPr>
            </w:pPr>
            <w:r w:rsidRPr="004E69F3">
              <w:rPr>
                <w:b/>
                <w:bCs/>
              </w:rPr>
              <w:t>Action</w:t>
            </w:r>
          </w:p>
        </w:tc>
        <w:tc>
          <w:tcPr>
            <w:tcW w:w="2934" w:type="dxa"/>
            <w:shd w:val="clear" w:color="auto" w:fill="D1DEFD" w:themeFill="accent3" w:themeFillTint="33"/>
          </w:tcPr>
          <w:p w14:paraId="7C80C8AC" w14:textId="77777777" w:rsidR="004E69F3" w:rsidRPr="004E69F3" w:rsidRDefault="004E69F3" w:rsidP="004E69F3">
            <w:pPr>
              <w:rPr>
                <w:b/>
                <w:bCs/>
              </w:rPr>
            </w:pPr>
            <w:r w:rsidRPr="004E69F3">
              <w:rPr>
                <w:b/>
                <w:bCs/>
              </w:rPr>
              <w:t>Deadline</w:t>
            </w:r>
          </w:p>
        </w:tc>
        <w:tc>
          <w:tcPr>
            <w:tcW w:w="2935" w:type="dxa"/>
            <w:shd w:val="clear" w:color="auto" w:fill="D1DEFD" w:themeFill="accent3" w:themeFillTint="33"/>
          </w:tcPr>
          <w:p w14:paraId="739F6DB6" w14:textId="77777777" w:rsidR="004E69F3" w:rsidRPr="004E69F3" w:rsidRDefault="004E69F3" w:rsidP="004E69F3">
            <w:pPr>
              <w:rPr>
                <w:b/>
                <w:bCs/>
              </w:rPr>
            </w:pPr>
            <w:r w:rsidRPr="004E69F3">
              <w:rPr>
                <w:b/>
                <w:bCs/>
              </w:rPr>
              <w:t>Owner</w:t>
            </w:r>
          </w:p>
        </w:tc>
        <w:tc>
          <w:tcPr>
            <w:tcW w:w="2935" w:type="dxa"/>
            <w:shd w:val="clear" w:color="auto" w:fill="D1DEFD" w:themeFill="accent3" w:themeFillTint="33"/>
          </w:tcPr>
          <w:p w14:paraId="4640C971" w14:textId="77777777" w:rsidR="004E69F3" w:rsidRPr="004E69F3" w:rsidRDefault="004E69F3" w:rsidP="004E69F3">
            <w:pPr>
              <w:rPr>
                <w:b/>
                <w:bCs/>
              </w:rPr>
            </w:pPr>
            <w:r w:rsidRPr="004E69F3">
              <w:rPr>
                <w:b/>
                <w:bCs/>
              </w:rPr>
              <w:t>How will it be monitored?</w:t>
            </w:r>
          </w:p>
        </w:tc>
        <w:tc>
          <w:tcPr>
            <w:tcW w:w="2935" w:type="dxa"/>
            <w:shd w:val="clear" w:color="auto" w:fill="D1DEFD" w:themeFill="accent3" w:themeFillTint="33"/>
          </w:tcPr>
          <w:p w14:paraId="3E7CC44D" w14:textId="77777777" w:rsidR="004E69F3" w:rsidRPr="004E69F3" w:rsidRDefault="004E69F3" w:rsidP="004E69F3">
            <w:pPr>
              <w:rPr>
                <w:b/>
                <w:bCs/>
              </w:rPr>
            </w:pPr>
            <w:r w:rsidRPr="004E69F3">
              <w:rPr>
                <w:b/>
                <w:bCs/>
              </w:rPr>
              <w:t>What is/will be the impact/outcome?</w:t>
            </w:r>
          </w:p>
        </w:tc>
      </w:tr>
      <w:tr w:rsidR="004E69F3" w:rsidRPr="004E69F3" w14:paraId="6BDFF706" w14:textId="77777777" w:rsidTr="004E69F3">
        <w:trPr>
          <w:trHeight w:val="428"/>
        </w:trPr>
        <w:tc>
          <w:tcPr>
            <w:tcW w:w="2934" w:type="dxa"/>
          </w:tcPr>
          <w:p w14:paraId="77BA96E2" w14:textId="77777777" w:rsidR="004E69F3" w:rsidRPr="004E69F3" w:rsidRDefault="004E69F3" w:rsidP="004E69F3"/>
        </w:tc>
        <w:tc>
          <w:tcPr>
            <w:tcW w:w="2934" w:type="dxa"/>
          </w:tcPr>
          <w:p w14:paraId="4C3B4719" w14:textId="77777777" w:rsidR="004E69F3" w:rsidRPr="004E69F3" w:rsidRDefault="004E69F3" w:rsidP="004E69F3"/>
        </w:tc>
        <w:tc>
          <w:tcPr>
            <w:tcW w:w="2935" w:type="dxa"/>
          </w:tcPr>
          <w:p w14:paraId="1923729C" w14:textId="77777777" w:rsidR="004E69F3" w:rsidRPr="004E69F3" w:rsidRDefault="004E69F3" w:rsidP="004E69F3"/>
        </w:tc>
        <w:tc>
          <w:tcPr>
            <w:tcW w:w="2935" w:type="dxa"/>
          </w:tcPr>
          <w:p w14:paraId="7FF08D0E" w14:textId="77777777" w:rsidR="004E69F3" w:rsidRPr="004E69F3" w:rsidRDefault="004E69F3" w:rsidP="004E69F3"/>
        </w:tc>
        <w:tc>
          <w:tcPr>
            <w:tcW w:w="2935" w:type="dxa"/>
          </w:tcPr>
          <w:p w14:paraId="4A604FBE" w14:textId="77777777" w:rsidR="004E69F3" w:rsidRPr="004E69F3" w:rsidRDefault="004E69F3" w:rsidP="004E69F3"/>
        </w:tc>
      </w:tr>
      <w:tr w:rsidR="004E69F3" w:rsidRPr="004E69F3" w14:paraId="2F3B8C3F" w14:textId="77777777" w:rsidTr="004E69F3">
        <w:trPr>
          <w:trHeight w:val="403"/>
        </w:trPr>
        <w:tc>
          <w:tcPr>
            <w:tcW w:w="2934" w:type="dxa"/>
          </w:tcPr>
          <w:p w14:paraId="0A149A91" w14:textId="77777777" w:rsidR="004E69F3" w:rsidRPr="004E69F3" w:rsidRDefault="004E69F3" w:rsidP="004E69F3"/>
        </w:tc>
        <w:tc>
          <w:tcPr>
            <w:tcW w:w="2934" w:type="dxa"/>
          </w:tcPr>
          <w:p w14:paraId="537A6A0B" w14:textId="77777777" w:rsidR="004E69F3" w:rsidRPr="004E69F3" w:rsidRDefault="004E69F3" w:rsidP="004E69F3"/>
        </w:tc>
        <w:tc>
          <w:tcPr>
            <w:tcW w:w="2935" w:type="dxa"/>
          </w:tcPr>
          <w:p w14:paraId="1A42F8C5" w14:textId="77777777" w:rsidR="004E69F3" w:rsidRPr="004E69F3" w:rsidRDefault="004E69F3" w:rsidP="004E69F3"/>
        </w:tc>
        <w:tc>
          <w:tcPr>
            <w:tcW w:w="2935" w:type="dxa"/>
          </w:tcPr>
          <w:p w14:paraId="164E7011" w14:textId="77777777" w:rsidR="004E69F3" w:rsidRPr="004E69F3" w:rsidRDefault="004E69F3" w:rsidP="004E69F3"/>
        </w:tc>
        <w:tc>
          <w:tcPr>
            <w:tcW w:w="2935" w:type="dxa"/>
          </w:tcPr>
          <w:p w14:paraId="5A2DEF20" w14:textId="77777777" w:rsidR="004E69F3" w:rsidRPr="004E69F3" w:rsidRDefault="004E69F3" w:rsidP="004E69F3"/>
        </w:tc>
      </w:tr>
      <w:tr w:rsidR="004E69F3" w:rsidRPr="004E69F3" w14:paraId="71BE8483" w14:textId="77777777" w:rsidTr="004E69F3">
        <w:trPr>
          <w:trHeight w:val="428"/>
        </w:trPr>
        <w:tc>
          <w:tcPr>
            <w:tcW w:w="2934" w:type="dxa"/>
          </w:tcPr>
          <w:p w14:paraId="1A801CC3" w14:textId="77777777" w:rsidR="004E69F3" w:rsidRPr="004E69F3" w:rsidRDefault="004E69F3" w:rsidP="004E69F3"/>
        </w:tc>
        <w:tc>
          <w:tcPr>
            <w:tcW w:w="2934" w:type="dxa"/>
          </w:tcPr>
          <w:p w14:paraId="3FDC3071" w14:textId="77777777" w:rsidR="004E69F3" w:rsidRPr="004E69F3" w:rsidRDefault="004E69F3" w:rsidP="004E69F3"/>
        </w:tc>
        <w:tc>
          <w:tcPr>
            <w:tcW w:w="2935" w:type="dxa"/>
          </w:tcPr>
          <w:p w14:paraId="7D3B4374" w14:textId="77777777" w:rsidR="004E69F3" w:rsidRPr="004E69F3" w:rsidRDefault="004E69F3" w:rsidP="004E69F3"/>
        </w:tc>
        <w:tc>
          <w:tcPr>
            <w:tcW w:w="2935" w:type="dxa"/>
          </w:tcPr>
          <w:p w14:paraId="6597A243" w14:textId="77777777" w:rsidR="004E69F3" w:rsidRPr="004E69F3" w:rsidRDefault="004E69F3" w:rsidP="004E69F3"/>
        </w:tc>
        <w:tc>
          <w:tcPr>
            <w:tcW w:w="2935" w:type="dxa"/>
          </w:tcPr>
          <w:p w14:paraId="0538DE8D" w14:textId="77777777" w:rsidR="004E69F3" w:rsidRPr="004E69F3" w:rsidRDefault="004E69F3" w:rsidP="004E69F3"/>
        </w:tc>
      </w:tr>
    </w:tbl>
    <w:p w14:paraId="6778FD33" w14:textId="50644EAE" w:rsidR="004E69F3" w:rsidRPr="004E69F3" w:rsidRDefault="004E69F3" w:rsidP="004E69F3">
      <w:pPr>
        <w:tabs>
          <w:tab w:val="left" w:pos="4785"/>
        </w:tabs>
      </w:pPr>
    </w:p>
    <w:sectPr w:rsidR="004E69F3" w:rsidRPr="004E69F3" w:rsidSect="00BE1795">
      <w:pgSz w:w="16840" w:h="11900" w:orient="landscape"/>
      <w:pgMar w:top="1440" w:right="2032" w:bottom="1440" w:left="1440" w:header="2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98FFE" w14:textId="77777777" w:rsidR="00344C44" w:rsidRDefault="00344C44" w:rsidP="001F62C7">
      <w:r>
        <w:separator/>
      </w:r>
    </w:p>
  </w:endnote>
  <w:endnote w:type="continuationSeparator" w:id="0">
    <w:p w14:paraId="2FB56A1A" w14:textId="77777777" w:rsidR="00344C44" w:rsidRDefault="00344C44" w:rsidP="001F62C7">
      <w:r>
        <w:continuationSeparator/>
      </w:r>
    </w:p>
  </w:endnote>
  <w:endnote w:type="continuationNotice" w:id="1">
    <w:p w14:paraId="67B4F9A1" w14:textId="77777777" w:rsidR="00344C44" w:rsidRDefault="00344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8735" w14:textId="30B715A8"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DD8F988" w14:textId="77777777" w:rsidR="00792240" w:rsidRDefault="00792240"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911614"/>
      <w:docPartObj>
        <w:docPartGallery w:val="Page Numbers (Bottom of Page)"/>
        <w:docPartUnique/>
      </w:docPartObj>
    </w:sdtPr>
    <w:sdtEndPr>
      <w:rPr>
        <w:rStyle w:val="PageNumber"/>
      </w:rPr>
    </w:sdtEndPr>
    <w:sdtContent>
      <w:p w14:paraId="2A9399AA" w14:textId="5773F4F0"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B475F6" w14:textId="4AAFE914" w:rsidR="00286414" w:rsidRDefault="006C43E0" w:rsidP="00792240">
    <w:pPr>
      <w:pStyle w:val="Footer"/>
      <w:ind w:right="360"/>
      <w:rPr>
        <w:rStyle w:val="Hyperlink"/>
      </w:rPr>
    </w:pPr>
    <w:hyperlink r:id="rId1" w:history="1">
      <w:r w:rsidR="008E3656" w:rsidRPr="00D4481D">
        <w:rPr>
          <w:rStyle w:val="Hyperlink"/>
        </w:rPr>
        <w:t>EDIHR@ukri.org</w:t>
      </w:r>
    </w:hyperlink>
  </w:p>
  <w:p w14:paraId="03250470" w14:textId="419DED9B" w:rsidR="008E3656" w:rsidRPr="008E3656" w:rsidRDefault="00A10000" w:rsidP="00792240">
    <w:pPr>
      <w:pStyle w:val="Footer"/>
      <w:ind w:right="360"/>
      <w:rPr>
        <w:rStyle w:val="Hyperlink"/>
        <w:color w:val="000000" w:themeColor="text1"/>
        <w:u w:val="none"/>
      </w:rPr>
    </w:pPr>
    <w:r>
      <w:rPr>
        <w:rStyle w:val="Hyperlink"/>
        <w:color w:val="000000" w:themeColor="text1"/>
        <w:u w:val="none"/>
      </w:rPr>
      <w:t xml:space="preserve">Mar </w:t>
    </w:r>
    <w:r w:rsidR="008E3656" w:rsidRPr="008E3656">
      <w:rPr>
        <w:rStyle w:val="Hyperlink"/>
        <w:color w:val="000000" w:themeColor="text1"/>
        <w:u w:val="none"/>
      </w:rPr>
      <w:t>2023</w:t>
    </w:r>
    <w:r w:rsidR="008E3656">
      <w:rPr>
        <w:rStyle w:val="Hyperlink"/>
        <w:color w:val="000000" w:themeColor="text1"/>
        <w:u w:val="none"/>
      </w:rPr>
      <w:t xml:space="preserve"> v0.</w:t>
    </w:r>
    <w:r>
      <w:rPr>
        <w:rStyle w:val="Hyperlink"/>
        <w:color w:val="000000" w:themeColor="text1"/>
        <w:u w:val="none"/>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DC85A" w14:textId="77777777" w:rsidR="00344C44" w:rsidRDefault="00344C44" w:rsidP="001F62C7">
      <w:r>
        <w:separator/>
      </w:r>
    </w:p>
  </w:footnote>
  <w:footnote w:type="continuationSeparator" w:id="0">
    <w:p w14:paraId="36FA7E47" w14:textId="77777777" w:rsidR="00344C44" w:rsidRDefault="00344C44" w:rsidP="001F62C7">
      <w:r>
        <w:continuationSeparator/>
      </w:r>
    </w:p>
  </w:footnote>
  <w:footnote w:type="continuationNotice" w:id="1">
    <w:p w14:paraId="0B0E0E1B" w14:textId="77777777" w:rsidR="00344C44" w:rsidRDefault="00344C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7C25" w14:textId="735E4343" w:rsidR="001F62C7" w:rsidRDefault="00A7587E" w:rsidP="009E0617">
    <w:pPr>
      <w:pStyle w:val="Header"/>
      <w:tabs>
        <w:tab w:val="clear" w:pos="4513"/>
        <w:tab w:val="clear" w:pos="9026"/>
        <w:tab w:val="left" w:pos="3551"/>
      </w:tabs>
      <w:ind w:left="-993"/>
    </w:pPr>
    <w:r>
      <w:rPr>
        <w:noProof/>
      </w:rPr>
      <w:drawing>
        <wp:anchor distT="0" distB="0" distL="114300" distR="114300" simplePos="0" relativeHeight="251658240" behindDoc="1" locked="0" layoutInCell="1" allowOverlap="1" wp14:anchorId="177FCAED" wp14:editId="697DC5E1">
          <wp:simplePos x="0" y="0"/>
          <wp:positionH relativeFrom="column">
            <wp:posOffset>-603885</wp:posOffset>
          </wp:positionH>
          <wp:positionV relativeFrom="paragraph">
            <wp:posOffset>106680</wp:posOffset>
          </wp:positionV>
          <wp:extent cx="2221865" cy="655320"/>
          <wp:effectExtent l="0" t="0" r="635" b="5080"/>
          <wp:wrapTight wrapText="bothSides">
            <wp:wrapPolygon edited="0">
              <wp:start x="0" y="0"/>
              <wp:lineTo x="0" y="21349"/>
              <wp:lineTo x="6544" y="21349"/>
              <wp:lineTo x="6544" y="20093"/>
              <wp:lineTo x="21483" y="17163"/>
              <wp:lineTo x="21483" y="13395"/>
              <wp:lineTo x="19507" y="6698"/>
              <wp:lineTo x="19754" y="5023"/>
              <wp:lineTo x="18149" y="4186"/>
              <wp:lineTo x="6544"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1865" cy="655320"/>
                  </a:xfrm>
                  <a:prstGeom prst="rect">
                    <a:avLst/>
                  </a:prstGeom>
                </pic:spPr>
              </pic:pic>
            </a:graphicData>
          </a:graphic>
          <wp14:sizeRelH relativeFrom="page">
            <wp14:pctWidth>0</wp14:pctWidth>
          </wp14:sizeRelH>
          <wp14:sizeRelV relativeFrom="page">
            <wp14:pctHeight>0</wp14:pctHeight>
          </wp14:sizeRelV>
        </wp:anchor>
      </w:drawing>
    </w:r>
    <w:r w:rsidR="009E0617">
      <w:tab/>
    </w:r>
  </w:p>
  <w:p w14:paraId="62E6C041" w14:textId="10E17E8D" w:rsidR="001F62C7" w:rsidRDefault="00017BB8" w:rsidP="00017BB8">
    <w:pPr>
      <w:pStyle w:val="Header"/>
      <w:tabs>
        <w:tab w:val="clear" w:pos="4513"/>
        <w:tab w:val="clear" w:pos="9026"/>
        <w:tab w:val="left" w:pos="21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47E5"/>
    <w:multiLevelType w:val="hybridMultilevel"/>
    <w:tmpl w:val="D98A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F6262"/>
    <w:multiLevelType w:val="hybridMultilevel"/>
    <w:tmpl w:val="4C92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465AA"/>
    <w:multiLevelType w:val="hybridMultilevel"/>
    <w:tmpl w:val="F33E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E1F06"/>
    <w:multiLevelType w:val="hybridMultilevel"/>
    <w:tmpl w:val="593E0630"/>
    <w:lvl w:ilvl="0" w:tplc="67083B54">
      <w:start w:val="1"/>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A7B64"/>
    <w:multiLevelType w:val="hybridMultilevel"/>
    <w:tmpl w:val="D8F24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E5DB8"/>
    <w:multiLevelType w:val="hybridMultilevel"/>
    <w:tmpl w:val="2A52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07877"/>
    <w:multiLevelType w:val="hybridMultilevel"/>
    <w:tmpl w:val="5D4E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5586A"/>
    <w:multiLevelType w:val="hybridMultilevel"/>
    <w:tmpl w:val="5D40E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F70CBC"/>
    <w:multiLevelType w:val="hybridMultilevel"/>
    <w:tmpl w:val="5C18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614647"/>
    <w:multiLevelType w:val="hybridMultilevel"/>
    <w:tmpl w:val="85A0E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11"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B103B89"/>
    <w:multiLevelType w:val="hybridMultilevel"/>
    <w:tmpl w:val="7B14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1A77AE"/>
    <w:multiLevelType w:val="hybridMultilevel"/>
    <w:tmpl w:val="370E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3B375B"/>
    <w:multiLevelType w:val="hybridMultilevel"/>
    <w:tmpl w:val="BE904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8E45BA"/>
    <w:multiLevelType w:val="hybridMultilevel"/>
    <w:tmpl w:val="B0F64026"/>
    <w:lvl w:ilvl="0" w:tplc="FFFFFFFF">
      <w:start w:val="1"/>
      <w:numFmt w:val="decimal"/>
      <w:lvlText w:val="%1."/>
      <w:lvlJc w:val="left"/>
      <w:pPr>
        <w:tabs>
          <w:tab w:val="num" w:pos="720"/>
        </w:tabs>
        <w:ind w:left="720" w:hanging="360"/>
      </w:pPr>
      <w:rPr>
        <w:rFonts w:asciiTheme="minorHAnsi" w:hAnsiTheme="minorHAnsi" w:cstheme="minorHAnsi"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6" w15:restartNumberingAfterBreak="0">
    <w:nsid w:val="337E1412"/>
    <w:multiLevelType w:val="hybridMultilevel"/>
    <w:tmpl w:val="C7C0CC06"/>
    <w:lvl w:ilvl="0" w:tplc="BC10479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3B7DF1"/>
    <w:multiLevelType w:val="hybridMultilevel"/>
    <w:tmpl w:val="D4E613B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9C3F61"/>
    <w:multiLevelType w:val="hybridMultilevel"/>
    <w:tmpl w:val="6CE4EAB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940E55"/>
    <w:multiLevelType w:val="hybridMultilevel"/>
    <w:tmpl w:val="E760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F72799"/>
    <w:multiLevelType w:val="hybridMultilevel"/>
    <w:tmpl w:val="E5E89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80161E5"/>
    <w:multiLevelType w:val="hybridMultilevel"/>
    <w:tmpl w:val="BE3A6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E43ADE"/>
    <w:multiLevelType w:val="hybridMultilevel"/>
    <w:tmpl w:val="38F0A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233818"/>
    <w:multiLevelType w:val="hybridMultilevel"/>
    <w:tmpl w:val="44B8A0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6" w15:restartNumberingAfterBreak="0">
    <w:nsid w:val="76A57B84"/>
    <w:multiLevelType w:val="hybridMultilevel"/>
    <w:tmpl w:val="A2DC5D52"/>
    <w:lvl w:ilvl="0" w:tplc="89E6B4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AE24B2"/>
    <w:multiLevelType w:val="multilevel"/>
    <w:tmpl w:val="E15A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FB0CA4"/>
    <w:multiLevelType w:val="hybridMultilevel"/>
    <w:tmpl w:val="1E80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C1295"/>
    <w:multiLevelType w:val="hybridMultilevel"/>
    <w:tmpl w:val="0C92854A"/>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1E348D"/>
    <w:multiLevelType w:val="hybridMultilevel"/>
    <w:tmpl w:val="5EFECC6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0167043">
    <w:abstractNumId w:val="16"/>
  </w:num>
  <w:num w:numId="2" w16cid:durableId="1501777614">
    <w:abstractNumId w:val="30"/>
  </w:num>
  <w:num w:numId="3" w16cid:durableId="1419406619">
    <w:abstractNumId w:val="29"/>
  </w:num>
  <w:num w:numId="4" w16cid:durableId="102650157">
    <w:abstractNumId w:val="18"/>
  </w:num>
  <w:num w:numId="5" w16cid:durableId="347948903">
    <w:abstractNumId w:val="4"/>
  </w:num>
  <w:num w:numId="6" w16cid:durableId="1784038433">
    <w:abstractNumId w:val="20"/>
  </w:num>
  <w:num w:numId="7" w16cid:durableId="1518425293">
    <w:abstractNumId w:val="21"/>
  </w:num>
  <w:num w:numId="8" w16cid:durableId="333924576">
    <w:abstractNumId w:val="10"/>
  </w:num>
  <w:num w:numId="9" w16cid:durableId="1754161879">
    <w:abstractNumId w:val="5"/>
  </w:num>
  <w:num w:numId="10" w16cid:durableId="1608657730">
    <w:abstractNumId w:val="12"/>
  </w:num>
  <w:num w:numId="11" w16cid:durableId="1021516875">
    <w:abstractNumId w:val="1"/>
  </w:num>
  <w:num w:numId="12" w16cid:durableId="737940397">
    <w:abstractNumId w:val="6"/>
  </w:num>
  <w:num w:numId="13" w16cid:durableId="1104691965">
    <w:abstractNumId w:val="22"/>
  </w:num>
  <w:num w:numId="14" w16cid:durableId="2129927953">
    <w:abstractNumId w:val="7"/>
  </w:num>
  <w:num w:numId="15" w16cid:durableId="1210843515">
    <w:abstractNumId w:val="17"/>
  </w:num>
  <w:num w:numId="16" w16cid:durableId="1037312117">
    <w:abstractNumId w:val="3"/>
  </w:num>
  <w:num w:numId="17" w16cid:durableId="1323004994">
    <w:abstractNumId w:val="28"/>
  </w:num>
  <w:num w:numId="18" w16cid:durableId="250893891">
    <w:abstractNumId w:val="11"/>
  </w:num>
  <w:num w:numId="19" w16cid:durableId="350182018">
    <w:abstractNumId w:val="15"/>
  </w:num>
  <w:num w:numId="20" w16cid:durableId="1302492639">
    <w:abstractNumId w:val="14"/>
  </w:num>
  <w:num w:numId="21" w16cid:durableId="801384350">
    <w:abstractNumId w:val="2"/>
  </w:num>
  <w:num w:numId="22" w16cid:durableId="1106929261">
    <w:abstractNumId w:val="9"/>
  </w:num>
  <w:num w:numId="23" w16cid:durableId="473958582">
    <w:abstractNumId w:val="19"/>
  </w:num>
  <w:num w:numId="24" w16cid:durableId="1646659216">
    <w:abstractNumId w:val="13"/>
  </w:num>
  <w:num w:numId="25" w16cid:durableId="1967391488">
    <w:abstractNumId w:val="25"/>
  </w:num>
  <w:num w:numId="26" w16cid:durableId="1819573212">
    <w:abstractNumId w:val="27"/>
  </w:num>
  <w:num w:numId="27" w16cid:durableId="1747415553">
    <w:abstractNumId w:val="0"/>
  </w:num>
  <w:num w:numId="28" w16cid:durableId="2105372086">
    <w:abstractNumId w:val="8"/>
  </w:num>
  <w:num w:numId="29" w16cid:durableId="518937376">
    <w:abstractNumId w:val="23"/>
  </w:num>
  <w:num w:numId="30" w16cid:durableId="1762215163">
    <w:abstractNumId w:val="24"/>
  </w:num>
  <w:num w:numId="31" w16cid:durableId="16983600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D6"/>
    <w:rsid w:val="00000836"/>
    <w:rsid w:val="00017BB8"/>
    <w:rsid w:val="00020E24"/>
    <w:rsid w:val="00022608"/>
    <w:rsid w:val="00027E5D"/>
    <w:rsid w:val="000321B0"/>
    <w:rsid w:val="000324F2"/>
    <w:rsid w:val="00032705"/>
    <w:rsid w:val="00032811"/>
    <w:rsid w:val="00046F3D"/>
    <w:rsid w:val="000503E4"/>
    <w:rsid w:val="000515FD"/>
    <w:rsid w:val="00051A18"/>
    <w:rsid w:val="00054A8B"/>
    <w:rsid w:val="0005772A"/>
    <w:rsid w:val="00066C99"/>
    <w:rsid w:val="000704E7"/>
    <w:rsid w:val="0007194F"/>
    <w:rsid w:val="00074F97"/>
    <w:rsid w:val="00080550"/>
    <w:rsid w:val="0008105E"/>
    <w:rsid w:val="000858E1"/>
    <w:rsid w:val="00091281"/>
    <w:rsid w:val="000A0D2D"/>
    <w:rsid w:val="000A6221"/>
    <w:rsid w:val="000B1F3C"/>
    <w:rsid w:val="000B2FD9"/>
    <w:rsid w:val="000C09ED"/>
    <w:rsid w:val="000C693C"/>
    <w:rsid w:val="000D0B9C"/>
    <w:rsid w:val="000D3769"/>
    <w:rsid w:val="000D42B6"/>
    <w:rsid w:val="000E0221"/>
    <w:rsid w:val="000E0852"/>
    <w:rsid w:val="000E355A"/>
    <w:rsid w:val="000F492E"/>
    <w:rsid w:val="000F4DF2"/>
    <w:rsid w:val="000F6E23"/>
    <w:rsid w:val="000F6FF5"/>
    <w:rsid w:val="000F772F"/>
    <w:rsid w:val="0010633F"/>
    <w:rsid w:val="001169DB"/>
    <w:rsid w:val="00116D74"/>
    <w:rsid w:val="00117981"/>
    <w:rsid w:val="00117A48"/>
    <w:rsid w:val="001203E0"/>
    <w:rsid w:val="001308AE"/>
    <w:rsid w:val="0013632F"/>
    <w:rsid w:val="00140550"/>
    <w:rsid w:val="00141716"/>
    <w:rsid w:val="00145F3E"/>
    <w:rsid w:val="00147D1C"/>
    <w:rsid w:val="00147D57"/>
    <w:rsid w:val="00153C0C"/>
    <w:rsid w:val="00160AE4"/>
    <w:rsid w:val="00160F2E"/>
    <w:rsid w:val="001654F0"/>
    <w:rsid w:val="00167266"/>
    <w:rsid w:val="0016740B"/>
    <w:rsid w:val="0016753E"/>
    <w:rsid w:val="00175377"/>
    <w:rsid w:val="00177E62"/>
    <w:rsid w:val="00183DC6"/>
    <w:rsid w:val="00183E2C"/>
    <w:rsid w:val="00184CF9"/>
    <w:rsid w:val="001873CD"/>
    <w:rsid w:val="001909DA"/>
    <w:rsid w:val="00191A47"/>
    <w:rsid w:val="00196868"/>
    <w:rsid w:val="001A6FE6"/>
    <w:rsid w:val="001B1487"/>
    <w:rsid w:val="001B3FDF"/>
    <w:rsid w:val="001B69FB"/>
    <w:rsid w:val="001C0266"/>
    <w:rsid w:val="001C3882"/>
    <w:rsid w:val="001D4906"/>
    <w:rsid w:val="001E08EE"/>
    <w:rsid w:val="001E2ED9"/>
    <w:rsid w:val="001F071C"/>
    <w:rsid w:val="001F62C7"/>
    <w:rsid w:val="0020080A"/>
    <w:rsid w:val="00204002"/>
    <w:rsid w:val="00204928"/>
    <w:rsid w:val="00205A3B"/>
    <w:rsid w:val="0021261E"/>
    <w:rsid w:val="00214C38"/>
    <w:rsid w:val="002154F5"/>
    <w:rsid w:val="00221D0E"/>
    <w:rsid w:val="00222AE0"/>
    <w:rsid w:val="002231FB"/>
    <w:rsid w:val="00223B75"/>
    <w:rsid w:val="0022428B"/>
    <w:rsid w:val="0022472B"/>
    <w:rsid w:val="002268A6"/>
    <w:rsid w:val="0023576E"/>
    <w:rsid w:val="0024011F"/>
    <w:rsid w:val="00243731"/>
    <w:rsid w:val="00245F1C"/>
    <w:rsid w:val="0024720D"/>
    <w:rsid w:val="00256C52"/>
    <w:rsid w:val="002645B9"/>
    <w:rsid w:val="00265049"/>
    <w:rsid w:val="00270EFB"/>
    <w:rsid w:val="00271AE8"/>
    <w:rsid w:val="00272E8D"/>
    <w:rsid w:val="00275025"/>
    <w:rsid w:val="00281130"/>
    <w:rsid w:val="00286414"/>
    <w:rsid w:val="00291F09"/>
    <w:rsid w:val="00297755"/>
    <w:rsid w:val="002A0A35"/>
    <w:rsid w:val="002A1179"/>
    <w:rsid w:val="002A4918"/>
    <w:rsid w:val="002A677D"/>
    <w:rsid w:val="002A6C38"/>
    <w:rsid w:val="002B1330"/>
    <w:rsid w:val="002B2480"/>
    <w:rsid w:val="002B3AE8"/>
    <w:rsid w:val="002B4AF4"/>
    <w:rsid w:val="002B75EC"/>
    <w:rsid w:val="002D4671"/>
    <w:rsid w:val="002D56AB"/>
    <w:rsid w:val="002E208A"/>
    <w:rsid w:val="002F0AE5"/>
    <w:rsid w:val="002F741B"/>
    <w:rsid w:val="003024E3"/>
    <w:rsid w:val="00312B2C"/>
    <w:rsid w:val="00317BCA"/>
    <w:rsid w:val="003238E2"/>
    <w:rsid w:val="003254F7"/>
    <w:rsid w:val="00330BB9"/>
    <w:rsid w:val="00335AAC"/>
    <w:rsid w:val="00337E44"/>
    <w:rsid w:val="00341B6C"/>
    <w:rsid w:val="003429DB"/>
    <w:rsid w:val="003430CE"/>
    <w:rsid w:val="00344C44"/>
    <w:rsid w:val="00353C2D"/>
    <w:rsid w:val="00354FCD"/>
    <w:rsid w:val="00365154"/>
    <w:rsid w:val="00365F49"/>
    <w:rsid w:val="00366242"/>
    <w:rsid w:val="00366A04"/>
    <w:rsid w:val="003707C8"/>
    <w:rsid w:val="00371440"/>
    <w:rsid w:val="00371486"/>
    <w:rsid w:val="00373980"/>
    <w:rsid w:val="003773A2"/>
    <w:rsid w:val="00384423"/>
    <w:rsid w:val="00386A2D"/>
    <w:rsid w:val="0039499A"/>
    <w:rsid w:val="003A451F"/>
    <w:rsid w:val="003A6AEF"/>
    <w:rsid w:val="003B4504"/>
    <w:rsid w:val="003B4811"/>
    <w:rsid w:val="003B6AAC"/>
    <w:rsid w:val="003B6B21"/>
    <w:rsid w:val="003B7DDC"/>
    <w:rsid w:val="003C076B"/>
    <w:rsid w:val="003C6C06"/>
    <w:rsid w:val="003C6C57"/>
    <w:rsid w:val="003D1233"/>
    <w:rsid w:val="003D5815"/>
    <w:rsid w:val="003E2FA2"/>
    <w:rsid w:val="003E66D2"/>
    <w:rsid w:val="00402210"/>
    <w:rsid w:val="00403896"/>
    <w:rsid w:val="00403B73"/>
    <w:rsid w:val="00403CF4"/>
    <w:rsid w:val="00410E33"/>
    <w:rsid w:val="0041753F"/>
    <w:rsid w:val="00417581"/>
    <w:rsid w:val="004216C0"/>
    <w:rsid w:val="00434904"/>
    <w:rsid w:val="0044126B"/>
    <w:rsid w:val="00443CEC"/>
    <w:rsid w:val="00444933"/>
    <w:rsid w:val="00454760"/>
    <w:rsid w:val="0045533B"/>
    <w:rsid w:val="0045539A"/>
    <w:rsid w:val="004614FA"/>
    <w:rsid w:val="00464FE4"/>
    <w:rsid w:val="00465265"/>
    <w:rsid w:val="004654D4"/>
    <w:rsid w:val="0046653F"/>
    <w:rsid w:val="00473963"/>
    <w:rsid w:val="004817A2"/>
    <w:rsid w:val="00482F1D"/>
    <w:rsid w:val="00485624"/>
    <w:rsid w:val="0049129B"/>
    <w:rsid w:val="00493D72"/>
    <w:rsid w:val="00495461"/>
    <w:rsid w:val="00496340"/>
    <w:rsid w:val="004A28E1"/>
    <w:rsid w:val="004A6DB7"/>
    <w:rsid w:val="004A6F4D"/>
    <w:rsid w:val="004B0807"/>
    <w:rsid w:val="004B4950"/>
    <w:rsid w:val="004B68E5"/>
    <w:rsid w:val="004E0F63"/>
    <w:rsid w:val="004E69F3"/>
    <w:rsid w:val="004F733A"/>
    <w:rsid w:val="00504021"/>
    <w:rsid w:val="00506CD0"/>
    <w:rsid w:val="00507DA2"/>
    <w:rsid w:val="00510779"/>
    <w:rsid w:val="00512F2D"/>
    <w:rsid w:val="00514B6E"/>
    <w:rsid w:val="005254D7"/>
    <w:rsid w:val="005275A7"/>
    <w:rsid w:val="005276ED"/>
    <w:rsid w:val="00535CFF"/>
    <w:rsid w:val="005425C4"/>
    <w:rsid w:val="005514AE"/>
    <w:rsid w:val="00551A73"/>
    <w:rsid w:val="005560C6"/>
    <w:rsid w:val="00557395"/>
    <w:rsid w:val="00557BB2"/>
    <w:rsid w:val="00560CA0"/>
    <w:rsid w:val="005613B2"/>
    <w:rsid w:val="00570148"/>
    <w:rsid w:val="00571230"/>
    <w:rsid w:val="0058189B"/>
    <w:rsid w:val="00582985"/>
    <w:rsid w:val="00583F6E"/>
    <w:rsid w:val="0058602B"/>
    <w:rsid w:val="005862CB"/>
    <w:rsid w:val="00593D7E"/>
    <w:rsid w:val="005A5F14"/>
    <w:rsid w:val="005A7DB5"/>
    <w:rsid w:val="005B47F8"/>
    <w:rsid w:val="005B5ADA"/>
    <w:rsid w:val="005B6B88"/>
    <w:rsid w:val="005C0956"/>
    <w:rsid w:val="005C136F"/>
    <w:rsid w:val="005C3905"/>
    <w:rsid w:val="005C5254"/>
    <w:rsid w:val="005C6A7A"/>
    <w:rsid w:val="005C70CD"/>
    <w:rsid w:val="005D011D"/>
    <w:rsid w:val="005D41CB"/>
    <w:rsid w:val="005D5760"/>
    <w:rsid w:val="005D5F07"/>
    <w:rsid w:val="005E667E"/>
    <w:rsid w:val="005F105F"/>
    <w:rsid w:val="005F1BAA"/>
    <w:rsid w:val="005F1F85"/>
    <w:rsid w:val="00601C6A"/>
    <w:rsid w:val="0060784B"/>
    <w:rsid w:val="00611994"/>
    <w:rsid w:val="00611A10"/>
    <w:rsid w:val="0061372D"/>
    <w:rsid w:val="00621EBB"/>
    <w:rsid w:val="00623617"/>
    <w:rsid w:val="00623942"/>
    <w:rsid w:val="00623DB3"/>
    <w:rsid w:val="006317C0"/>
    <w:rsid w:val="0063316D"/>
    <w:rsid w:val="0064295B"/>
    <w:rsid w:val="006430D3"/>
    <w:rsid w:val="006653E8"/>
    <w:rsid w:val="00667A11"/>
    <w:rsid w:val="006708AE"/>
    <w:rsid w:val="00681E05"/>
    <w:rsid w:val="00682DC4"/>
    <w:rsid w:val="00694BAD"/>
    <w:rsid w:val="006977EF"/>
    <w:rsid w:val="006A15CF"/>
    <w:rsid w:val="006A399F"/>
    <w:rsid w:val="006A6FE8"/>
    <w:rsid w:val="006A7E5E"/>
    <w:rsid w:val="006B1684"/>
    <w:rsid w:val="006B6975"/>
    <w:rsid w:val="006C3DA1"/>
    <w:rsid w:val="006C43E0"/>
    <w:rsid w:val="006D2520"/>
    <w:rsid w:val="006D7C50"/>
    <w:rsid w:val="006E5A6A"/>
    <w:rsid w:val="006F15C2"/>
    <w:rsid w:val="006F16C9"/>
    <w:rsid w:val="006F2634"/>
    <w:rsid w:val="006F3C96"/>
    <w:rsid w:val="006F5AF8"/>
    <w:rsid w:val="00700404"/>
    <w:rsid w:val="00701DD1"/>
    <w:rsid w:val="007037F1"/>
    <w:rsid w:val="00712D10"/>
    <w:rsid w:val="00724DB4"/>
    <w:rsid w:val="0072547E"/>
    <w:rsid w:val="00725E44"/>
    <w:rsid w:val="0072698E"/>
    <w:rsid w:val="00726B57"/>
    <w:rsid w:val="007349BB"/>
    <w:rsid w:val="00735627"/>
    <w:rsid w:val="00735EA4"/>
    <w:rsid w:val="00745491"/>
    <w:rsid w:val="00747DA7"/>
    <w:rsid w:val="0075069E"/>
    <w:rsid w:val="00756177"/>
    <w:rsid w:val="00763431"/>
    <w:rsid w:val="00764DD6"/>
    <w:rsid w:val="007708BB"/>
    <w:rsid w:val="007717A1"/>
    <w:rsid w:val="007723B9"/>
    <w:rsid w:val="00782566"/>
    <w:rsid w:val="00782F42"/>
    <w:rsid w:val="00791E4F"/>
    <w:rsid w:val="00792240"/>
    <w:rsid w:val="00794187"/>
    <w:rsid w:val="00797FB3"/>
    <w:rsid w:val="007A2B49"/>
    <w:rsid w:val="007A3DBC"/>
    <w:rsid w:val="007B45A5"/>
    <w:rsid w:val="007B6C8A"/>
    <w:rsid w:val="007C34DC"/>
    <w:rsid w:val="007C366B"/>
    <w:rsid w:val="007C3B90"/>
    <w:rsid w:val="007C49C7"/>
    <w:rsid w:val="007C4B67"/>
    <w:rsid w:val="007C786B"/>
    <w:rsid w:val="007D2037"/>
    <w:rsid w:val="007D4208"/>
    <w:rsid w:val="007D617A"/>
    <w:rsid w:val="007D72ED"/>
    <w:rsid w:val="007E2393"/>
    <w:rsid w:val="007E28F7"/>
    <w:rsid w:val="007E57FF"/>
    <w:rsid w:val="007F6BEC"/>
    <w:rsid w:val="00801CB4"/>
    <w:rsid w:val="00802761"/>
    <w:rsid w:val="00802E1D"/>
    <w:rsid w:val="008069B4"/>
    <w:rsid w:val="00810D83"/>
    <w:rsid w:val="00823025"/>
    <w:rsid w:val="0082570C"/>
    <w:rsid w:val="00827024"/>
    <w:rsid w:val="00827DFD"/>
    <w:rsid w:val="008318EE"/>
    <w:rsid w:val="008335C9"/>
    <w:rsid w:val="00837494"/>
    <w:rsid w:val="00840F8E"/>
    <w:rsid w:val="008479DB"/>
    <w:rsid w:val="008506BC"/>
    <w:rsid w:val="008518F0"/>
    <w:rsid w:val="008520F6"/>
    <w:rsid w:val="0085245C"/>
    <w:rsid w:val="00861753"/>
    <w:rsid w:val="00862BAB"/>
    <w:rsid w:val="00870525"/>
    <w:rsid w:val="00871251"/>
    <w:rsid w:val="00871C18"/>
    <w:rsid w:val="00871C4D"/>
    <w:rsid w:val="00880839"/>
    <w:rsid w:val="00880F6F"/>
    <w:rsid w:val="00881C0D"/>
    <w:rsid w:val="00886946"/>
    <w:rsid w:val="00892849"/>
    <w:rsid w:val="00893FE8"/>
    <w:rsid w:val="00895DDA"/>
    <w:rsid w:val="008960FD"/>
    <w:rsid w:val="008A0174"/>
    <w:rsid w:val="008A042A"/>
    <w:rsid w:val="008A05EA"/>
    <w:rsid w:val="008A1D09"/>
    <w:rsid w:val="008A71A9"/>
    <w:rsid w:val="008B122F"/>
    <w:rsid w:val="008B1666"/>
    <w:rsid w:val="008B6482"/>
    <w:rsid w:val="008C5EC0"/>
    <w:rsid w:val="008D63DC"/>
    <w:rsid w:val="008E08C3"/>
    <w:rsid w:val="008E3656"/>
    <w:rsid w:val="008E3B5B"/>
    <w:rsid w:val="008F1AE8"/>
    <w:rsid w:val="008F1E25"/>
    <w:rsid w:val="008F712A"/>
    <w:rsid w:val="009033A8"/>
    <w:rsid w:val="00917A23"/>
    <w:rsid w:val="00917B28"/>
    <w:rsid w:val="00926212"/>
    <w:rsid w:val="00926C3E"/>
    <w:rsid w:val="009333BF"/>
    <w:rsid w:val="00934EEC"/>
    <w:rsid w:val="00935103"/>
    <w:rsid w:val="009436B3"/>
    <w:rsid w:val="009448CC"/>
    <w:rsid w:val="009458D3"/>
    <w:rsid w:val="00947B85"/>
    <w:rsid w:val="00947C90"/>
    <w:rsid w:val="00950DA2"/>
    <w:rsid w:val="00954531"/>
    <w:rsid w:val="009558A5"/>
    <w:rsid w:val="009573BB"/>
    <w:rsid w:val="00964B96"/>
    <w:rsid w:val="00970DE2"/>
    <w:rsid w:val="0097613A"/>
    <w:rsid w:val="00977FD9"/>
    <w:rsid w:val="009813BA"/>
    <w:rsid w:val="00983A21"/>
    <w:rsid w:val="00984580"/>
    <w:rsid w:val="009853E2"/>
    <w:rsid w:val="00986F85"/>
    <w:rsid w:val="00992C45"/>
    <w:rsid w:val="00996E0A"/>
    <w:rsid w:val="00996FA7"/>
    <w:rsid w:val="00997099"/>
    <w:rsid w:val="009A3578"/>
    <w:rsid w:val="009A5E6A"/>
    <w:rsid w:val="009A6026"/>
    <w:rsid w:val="009A6076"/>
    <w:rsid w:val="009A67FC"/>
    <w:rsid w:val="009B0F8F"/>
    <w:rsid w:val="009C37C0"/>
    <w:rsid w:val="009C4C69"/>
    <w:rsid w:val="009D0794"/>
    <w:rsid w:val="009D0CF6"/>
    <w:rsid w:val="009D0F8E"/>
    <w:rsid w:val="009D1E3B"/>
    <w:rsid w:val="009D4539"/>
    <w:rsid w:val="009D79DE"/>
    <w:rsid w:val="009E0617"/>
    <w:rsid w:val="009E07B1"/>
    <w:rsid w:val="009F7E4B"/>
    <w:rsid w:val="00A068E1"/>
    <w:rsid w:val="00A10000"/>
    <w:rsid w:val="00A11114"/>
    <w:rsid w:val="00A114E4"/>
    <w:rsid w:val="00A179C8"/>
    <w:rsid w:val="00A2000F"/>
    <w:rsid w:val="00A22FD9"/>
    <w:rsid w:val="00A245B3"/>
    <w:rsid w:val="00A327BC"/>
    <w:rsid w:val="00A34FB3"/>
    <w:rsid w:val="00A3522F"/>
    <w:rsid w:val="00A35341"/>
    <w:rsid w:val="00A36F69"/>
    <w:rsid w:val="00A40B47"/>
    <w:rsid w:val="00A44B04"/>
    <w:rsid w:val="00A51330"/>
    <w:rsid w:val="00A51F35"/>
    <w:rsid w:val="00A53A37"/>
    <w:rsid w:val="00A56143"/>
    <w:rsid w:val="00A60310"/>
    <w:rsid w:val="00A63357"/>
    <w:rsid w:val="00A67890"/>
    <w:rsid w:val="00A678B1"/>
    <w:rsid w:val="00A67F1D"/>
    <w:rsid w:val="00A72D66"/>
    <w:rsid w:val="00A73DEB"/>
    <w:rsid w:val="00A7587E"/>
    <w:rsid w:val="00A80AFF"/>
    <w:rsid w:val="00A8187B"/>
    <w:rsid w:val="00A8280F"/>
    <w:rsid w:val="00A8528D"/>
    <w:rsid w:val="00A85FFC"/>
    <w:rsid w:val="00A92AF3"/>
    <w:rsid w:val="00A93E49"/>
    <w:rsid w:val="00A9520F"/>
    <w:rsid w:val="00A954BB"/>
    <w:rsid w:val="00A960B4"/>
    <w:rsid w:val="00AA158F"/>
    <w:rsid w:val="00AA4889"/>
    <w:rsid w:val="00AA4939"/>
    <w:rsid w:val="00AB0BF3"/>
    <w:rsid w:val="00AB1034"/>
    <w:rsid w:val="00AB18EC"/>
    <w:rsid w:val="00AB1AE0"/>
    <w:rsid w:val="00AB29D4"/>
    <w:rsid w:val="00AB5DD8"/>
    <w:rsid w:val="00AB5E06"/>
    <w:rsid w:val="00AB6A45"/>
    <w:rsid w:val="00AB6C46"/>
    <w:rsid w:val="00AC4840"/>
    <w:rsid w:val="00AD242A"/>
    <w:rsid w:val="00AD423C"/>
    <w:rsid w:val="00AD71EF"/>
    <w:rsid w:val="00AE100E"/>
    <w:rsid w:val="00AE2C3F"/>
    <w:rsid w:val="00AF29B6"/>
    <w:rsid w:val="00B04880"/>
    <w:rsid w:val="00B054D1"/>
    <w:rsid w:val="00B05659"/>
    <w:rsid w:val="00B062EA"/>
    <w:rsid w:val="00B06671"/>
    <w:rsid w:val="00B12B57"/>
    <w:rsid w:val="00B12C29"/>
    <w:rsid w:val="00B15806"/>
    <w:rsid w:val="00B16849"/>
    <w:rsid w:val="00B27F84"/>
    <w:rsid w:val="00B32541"/>
    <w:rsid w:val="00B32C21"/>
    <w:rsid w:val="00B408E2"/>
    <w:rsid w:val="00B42354"/>
    <w:rsid w:val="00B435F3"/>
    <w:rsid w:val="00B442D5"/>
    <w:rsid w:val="00B465F8"/>
    <w:rsid w:val="00B5351A"/>
    <w:rsid w:val="00B55BD6"/>
    <w:rsid w:val="00B70661"/>
    <w:rsid w:val="00B71B1F"/>
    <w:rsid w:val="00B75311"/>
    <w:rsid w:val="00B7581F"/>
    <w:rsid w:val="00B7755E"/>
    <w:rsid w:val="00B90D95"/>
    <w:rsid w:val="00B925E0"/>
    <w:rsid w:val="00BA150C"/>
    <w:rsid w:val="00BA226A"/>
    <w:rsid w:val="00BA4E6E"/>
    <w:rsid w:val="00BA510F"/>
    <w:rsid w:val="00BA6CC7"/>
    <w:rsid w:val="00BA6CF2"/>
    <w:rsid w:val="00BA6D9C"/>
    <w:rsid w:val="00BA7117"/>
    <w:rsid w:val="00BB1393"/>
    <w:rsid w:val="00BB4B26"/>
    <w:rsid w:val="00BC166D"/>
    <w:rsid w:val="00BC665D"/>
    <w:rsid w:val="00BD3DD5"/>
    <w:rsid w:val="00BD3F77"/>
    <w:rsid w:val="00BE1795"/>
    <w:rsid w:val="00BE17E4"/>
    <w:rsid w:val="00BE199B"/>
    <w:rsid w:val="00BE1BA7"/>
    <w:rsid w:val="00BE2B8F"/>
    <w:rsid w:val="00BE2B9C"/>
    <w:rsid w:val="00BE3658"/>
    <w:rsid w:val="00BF043D"/>
    <w:rsid w:val="00BF2B99"/>
    <w:rsid w:val="00C00C28"/>
    <w:rsid w:val="00C05231"/>
    <w:rsid w:val="00C055CA"/>
    <w:rsid w:val="00C06282"/>
    <w:rsid w:val="00C062D6"/>
    <w:rsid w:val="00C13536"/>
    <w:rsid w:val="00C152A5"/>
    <w:rsid w:val="00C22784"/>
    <w:rsid w:val="00C32B82"/>
    <w:rsid w:val="00C34CF7"/>
    <w:rsid w:val="00C35170"/>
    <w:rsid w:val="00C36290"/>
    <w:rsid w:val="00C42CDE"/>
    <w:rsid w:val="00C46C85"/>
    <w:rsid w:val="00C477CC"/>
    <w:rsid w:val="00C51F91"/>
    <w:rsid w:val="00C55459"/>
    <w:rsid w:val="00C608FC"/>
    <w:rsid w:val="00C62BF4"/>
    <w:rsid w:val="00C63152"/>
    <w:rsid w:val="00C634C6"/>
    <w:rsid w:val="00C669EF"/>
    <w:rsid w:val="00C672F2"/>
    <w:rsid w:val="00C730D5"/>
    <w:rsid w:val="00C73C6A"/>
    <w:rsid w:val="00C744E0"/>
    <w:rsid w:val="00C74DB4"/>
    <w:rsid w:val="00C7617D"/>
    <w:rsid w:val="00C77084"/>
    <w:rsid w:val="00C84D2B"/>
    <w:rsid w:val="00C97B79"/>
    <w:rsid w:val="00C97CE3"/>
    <w:rsid w:val="00CA4892"/>
    <w:rsid w:val="00CA555C"/>
    <w:rsid w:val="00CB04B6"/>
    <w:rsid w:val="00CB1648"/>
    <w:rsid w:val="00CB1A6C"/>
    <w:rsid w:val="00CC33B9"/>
    <w:rsid w:val="00CC526D"/>
    <w:rsid w:val="00CD1805"/>
    <w:rsid w:val="00CD30EB"/>
    <w:rsid w:val="00CD32EF"/>
    <w:rsid w:val="00CD3FEE"/>
    <w:rsid w:val="00CD5861"/>
    <w:rsid w:val="00CD79F2"/>
    <w:rsid w:val="00CE153C"/>
    <w:rsid w:val="00CE26E1"/>
    <w:rsid w:val="00CE3404"/>
    <w:rsid w:val="00CE54F0"/>
    <w:rsid w:val="00CE553B"/>
    <w:rsid w:val="00CF12A4"/>
    <w:rsid w:val="00CF2B57"/>
    <w:rsid w:val="00CF3C48"/>
    <w:rsid w:val="00D10C0E"/>
    <w:rsid w:val="00D11798"/>
    <w:rsid w:val="00D12973"/>
    <w:rsid w:val="00D209E2"/>
    <w:rsid w:val="00D30E95"/>
    <w:rsid w:val="00D419E6"/>
    <w:rsid w:val="00D478E6"/>
    <w:rsid w:val="00D5192C"/>
    <w:rsid w:val="00D536BF"/>
    <w:rsid w:val="00D578E5"/>
    <w:rsid w:val="00D57C4E"/>
    <w:rsid w:val="00D90E24"/>
    <w:rsid w:val="00D91935"/>
    <w:rsid w:val="00D9277B"/>
    <w:rsid w:val="00DA50AB"/>
    <w:rsid w:val="00DB7872"/>
    <w:rsid w:val="00DC071E"/>
    <w:rsid w:val="00DC3BC5"/>
    <w:rsid w:val="00DD0213"/>
    <w:rsid w:val="00DD2BA6"/>
    <w:rsid w:val="00DD6CA3"/>
    <w:rsid w:val="00DD7248"/>
    <w:rsid w:val="00DE069B"/>
    <w:rsid w:val="00DE0D15"/>
    <w:rsid w:val="00DE2085"/>
    <w:rsid w:val="00DE2D4A"/>
    <w:rsid w:val="00DE6BC3"/>
    <w:rsid w:val="00DE6DA3"/>
    <w:rsid w:val="00DF04C3"/>
    <w:rsid w:val="00DF2F23"/>
    <w:rsid w:val="00DF53AC"/>
    <w:rsid w:val="00DF6A17"/>
    <w:rsid w:val="00E0329C"/>
    <w:rsid w:val="00E03F66"/>
    <w:rsid w:val="00E04370"/>
    <w:rsid w:val="00E1475E"/>
    <w:rsid w:val="00E216E0"/>
    <w:rsid w:val="00E220D7"/>
    <w:rsid w:val="00E25950"/>
    <w:rsid w:val="00E332A0"/>
    <w:rsid w:val="00E36315"/>
    <w:rsid w:val="00E45A38"/>
    <w:rsid w:val="00E4677F"/>
    <w:rsid w:val="00E46F87"/>
    <w:rsid w:val="00E51111"/>
    <w:rsid w:val="00E5595D"/>
    <w:rsid w:val="00E56CE8"/>
    <w:rsid w:val="00E60D27"/>
    <w:rsid w:val="00E66F39"/>
    <w:rsid w:val="00E7682A"/>
    <w:rsid w:val="00E86422"/>
    <w:rsid w:val="00E904DF"/>
    <w:rsid w:val="00EA00B1"/>
    <w:rsid w:val="00EA0B23"/>
    <w:rsid w:val="00EC1FD6"/>
    <w:rsid w:val="00EC32EC"/>
    <w:rsid w:val="00EC34B9"/>
    <w:rsid w:val="00EE124D"/>
    <w:rsid w:val="00EE7394"/>
    <w:rsid w:val="00EF4C5E"/>
    <w:rsid w:val="00F05034"/>
    <w:rsid w:val="00F105AB"/>
    <w:rsid w:val="00F11AFF"/>
    <w:rsid w:val="00F14C9D"/>
    <w:rsid w:val="00F16013"/>
    <w:rsid w:val="00F1737B"/>
    <w:rsid w:val="00F17384"/>
    <w:rsid w:val="00F1794B"/>
    <w:rsid w:val="00F22A0B"/>
    <w:rsid w:val="00F240DC"/>
    <w:rsid w:val="00F24739"/>
    <w:rsid w:val="00F26906"/>
    <w:rsid w:val="00F33B64"/>
    <w:rsid w:val="00F36BEA"/>
    <w:rsid w:val="00F370FA"/>
    <w:rsid w:val="00F45173"/>
    <w:rsid w:val="00F50A94"/>
    <w:rsid w:val="00F53458"/>
    <w:rsid w:val="00F53530"/>
    <w:rsid w:val="00F56CE9"/>
    <w:rsid w:val="00F63338"/>
    <w:rsid w:val="00F639CE"/>
    <w:rsid w:val="00F64C9E"/>
    <w:rsid w:val="00F64DD8"/>
    <w:rsid w:val="00F64EE3"/>
    <w:rsid w:val="00F717D9"/>
    <w:rsid w:val="00F72492"/>
    <w:rsid w:val="00F76593"/>
    <w:rsid w:val="00F76A4F"/>
    <w:rsid w:val="00F80302"/>
    <w:rsid w:val="00F80F3B"/>
    <w:rsid w:val="00F8100B"/>
    <w:rsid w:val="00F8112E"/>
    <w:rsid w:val="00F81AB0"/>
    <w:rsid w:val="00F83440"/>
    <w:rsid w:val="00F83734"/>
    <w:rsid w:val="00F850D3"/>
    <w:rsid w:val="00F864B3"/>
    <w:rsid w:val="00FA0DDA"/>
    <w:rsid w:val="00FA2BE1"/>
    <w:rsid w:val="00FA3202"/>
    <w:rsid w:val="00FA5553"/>
    <w:rsid w:val="00FB441B"/>
    <w:rsid w:val="00FB52E4"/>
    <w:rsid w:val="00FB58D0"/>
    <w:rsid w:val="00FC4A23"/>
    <w:rsid w:val="00FC705A"/>
    <w:rsid w:val="00FD270E"/>
    <w:rsid w:val="00FD634C"/>
    <w:rsid w:val="00FD67CB"/>
    <w:rsid w:val="00FE05B2"/>
    <w:rsid w:val="00FF2666"/>
    <w:rsid w:val="00FF5C64"/>
    <w:rsid w:val="00FF6147"/>
    <w:rsid w:val="15D467E5"/>
    <w:rsid w:val="195CF1EB"/>
    <w:rsid w:val="20C07987"/>
    <w:rsid w:val="3FCABECB"/>
    <w:rsid w:val="5572EE67"/>
    <w:rsid w:val="5E88A6A8"/>
    <w:rsid w:val="6AEE99D9"/>
    <w:rsid w:val="741E223E"/>
    <w:rsid w:val="76A3E4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971AA"/>
  <w15:chartTrackingRefBased/>
  <w15:docId w15:val="{469BFAB5-24A4-4071-ACBD-EA1FA442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D9C"/>
    <w:rPr>
      <w:rFonts w:ascii="Arial" w:hAnsi="Arial"/>
      <w:color w:val="595959"/>
    </w:rPr>
  </w:style>
  <w:style w:type="paragraph" w:styleId="Heading1">
    <w:name w:val="heading 1"/>
    <w:basedOn w:val="Normal"/>
    <w:next w:val="Normal"/>
    <w:link w:val="Heading1Char"/>
    <w:uiPriority w:val="9"/>
    <w:qFormat/>
    <w:rsid w:val="00BF043D"/>
    <w:pPr>
      <w:keepNext/>
      <w:keepLines/>
      <w:spacing w:before="240"/>
      <w:outlineLvl w:val="0"/>
    </w:pPr>
    <w:rPr>
      <w:rFonts w:eastAsiaTheme="majorEastAsia" w:cstheme="majorBidi"/>
      <w:b/>
      <w:color w:val="2E2D62"/>
      <w:sz w:val="40"/>
      <w:szCs w:val="32"/>
    </w:rPr>
  </w:style>
  <w:style w:type="paragraph" w:styleId="Heading2">
    <w:name w:val="heading 2"/>
    <w:basedOn w:val="Normal"/>
    <w:next w:val="Normal"/>
    <w:link w:val="Heading2Char"/>
    <w:uiPriority w:val="9"/>
    <w:unhideWhenUsed/>
    <w:qFormat/>
    <w:rsid w:val="001F62C7"/>
    <w:pPr>
      <w:keepNext/>
      <w:keepLines/>
      <w:spacing w:before="40"/>
      <w:outlineLvl w:val="1"/>
    </w:pPr>
    <w:rPr>
      <w:rFonts w:eastAsiaTheme="majorEastAsia" w:cstheme="majorBidi"/>
      <w:b/>
      <w:color w:val="2E2D62"/>
      <w:sz w:val="26"/>
      <w:szCs w:val="26"/>
    </w:rPr>
  </w:style>
  <w:style w:type="paragraph" w:styleId="Heading3">
    <w:name w:val="heading 3"/>
    <w:basedOn w:val="Normal"/>
    <w:next w:val="Normal"/>
    <w:link w:val="Heading3Char"/>
    <w:uiPriority w:val="9"/>
    <w:unhideWhenUsed/>
    <w:qFormat/>
    <w:rsid w:val="00FE05B2"/>
    <w:pPr>
      <w:keepNext/>
      <w:keepLines/>
      <w:spacing w:before="40"/>
      <w:outlineLvl w:val="2"/>
    </w:pPr>
    <w:rPr>
      <w:rFonts w:asciiTheme="majorHAnsi" w:eastAsiaTheme="majorEastAsia" w:hAnsiTheme="majorHAnsi" w:cstheme="majorBidi"/>
      <w:color w:val="042987" w:themeColor="accent3"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DD8"/>
    <w:rPr>
      <w:rFonts w:ascii="Arial" w:hAnsi="Arial"/>
      <w:color w:val="005E54"/>
      <w:u w:val="single"/>
    </w:rPr>
  </w:style>
  <w:style w:type="character" w:styleId="UnresolvedMention">
    <w:name w:val="Unresolved Mention"/>
    <w:basedOn w:val="DefaultParagraphFont"/>
    <w:uiPriority w:val="99"/>
    <w:semiHidden/>
    <w:unhideWhenUsed/>
    <w:rsid w:val="00B55BD6"/>
    <w:rPr>
      <w:color w:val="605E5C"/>
      <w:shd w:val="clear" w:color="auto" w:fill="E1DFDD"/>
    </w:rPr>
  </w:style>
  <w:style w:type="paragraph" w:styleId="ListParagraph">
    <w:name w:val="List Paragraph"/>
    <w:basedOn w:val="Normal"/>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BF043D"/>
    <w:rPr>
      <w:rFonts w:ascii="Arial" w:eastAsiaTheme="majorEastAsia" w:hAnsi="Arial" w:cstheme="majorBidi"/>
      <w:b/>
      <w:color w:val="2E2D62"/>
      <w:sz w:val="40"/>
      <w:szCs w:val="32"/>
    </w:rPr>
  </w:style>
  <w:style w:type="character" w:customStyle="1" w:styleId="Heading2Char">
    <w:name w:val="Heading 2 Char"/>
    <w:basedOn w:val="DefaultParagraphFont"/>
    <w:link w:val="Heading2"/>
    <w:uiPriority w:val="9"/>
    <w:rsid w:val="001F62C7"/>
    <w:rPr>
      <w:rFonts w:ascii="Arial" w:eastAsiaTheme="majorEastAsia" w:hAnsi="Arial" w:cstheme="majorBidi"/>
      <w:b/>
      <w:color w:val="2E2D62"/>
      <w:sz w:val="26"/>
      <w:szCs w:val="26"/>
    </w:rPr>
  </w:style>
  <w:style w:type="paragraph" w:styleId="Title">
    <w:name w:val="Title"/>
    <w:basedOn w:val="Normal"/>
    <w:next w:val="Normal"/>
    <w:link w:val="TitleChar"/>
    <w:uiPriority w:val="10"/>
    <w:qFormat/>
    <w:rsid w:val="001F62C7"/>
    <w:pPr>
      <w:contextualSpacing/>
    </w:pPr>
    <w:rPr>
      <w:rFonts w:eastAsiaTheme="majorEastAsia" w:cstheme="majorBidi"/>
      <w:color w:val="2E2D62"/>
      <w:spacing w:val="-10"/>
      <w:kern w:val="28"/>
      <w:sz w:val="32"/>
      <w:szCs w:val="56"/>
    </w:rPr>
  </w:style>
  <w:style w:type="character" w:customStyle="1" w:styleId="TitleChar">
    <w:name w:val="Title Char"/>
    <w:basedOn w:val="DefaultParagraphFont"/>
    <w:link w:val="Title"/>
    <w:uiPriority w:val="10"/>
    <w:rsid w:val="001F62C7"/>
    <w:rPr>
      <w:rFonts w:ascii="Arial" w:eastAsiaTheme="majorEastAsia" w:hAnsi="Arial" w:cstheme="majorBidi"/>
      <w:color w:val="2E2D62"/>
      <w:spacing w:val="-10"/>
      <w:kern w:val="28"/>
      <w:sz w:val="32"/>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F64DD8"/>
    <w:rPr>
      <w:rFonts w:ascii="Arial" w:hAnsi="Arial"/>
      <w:b/>
      <w:i w:val="0"/>
      <w:iCs/>
      <w:color w:val="3E863E"/>
      <w:sz w:val="28"/>
    </w:rPr>
  </w:style>
  <w:style w:type="character" w:styleId="IntenseEmphasis">
    <w:name w:val="Intense Emphasis"/>
    <w:basedOn w:val="DefaultParagraphFont"/>
    <w:uiPriority w:val="21"/>
    <w:qFormat/>
    <w:rsid w:val="00F64DD8"/>
    <w:rPr>
      <w:rFonts w:ascii="Arial" w:hAnsi="Arial"/>
      <w:b/>
      <w:i w:val="0"/>
      <w:iCs/>
      <w:color w:val="1697AB"/>
      <w:sz w:val="32"/>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A93E4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F64DD8"/>
    <w:pPr>
      <w:spacing w:before="200" w:after="160"/>
      <w:ind w:left="864" w:right="864"/>
      <w:jc w:val="center"/>
    </w:pPr>
    <w:rPr>
      <w:iCs/>
      <w:color w:val="BE2BBB"/>
    </w:rPr>
  </w:style>
  <w:style w:type="character" w:customStyle="1" w:styleId="QuoteChar">
    <w:name w:val="Quote Char"/>
    <w:basedOn w:val="DefaultParagraphFont"/>
    <w:link w:val="Quote"/>
    <w:uiPriority w:val="29"/>
    <w:rsid w:val="00F64DD8"/>
    <w:rPr>
      <w:rFonts w:ascii="Arial" w:hAnsi="Arial"/>
      <w:iCs/>
      <w:color w:val="BE2BBB"/>
    </w:rPr>
  </w:style>
  <w:style w:type="paragraph" w:styleId="IntenseQuote">
    <w:name w:val="Intense Quote"/>
    <w:basedOn w:val="Normal"/>
    <w:next w:val="Normal"/>
    <w:link w:val="IntenseQuoteChar"/>
    <w:uiPriority w:val="30"/>
    <w:qFormat/>
    <w:rsid w:val="00F64DD8"/>
    <w:pPr>
      <w:pBdr>
        <w:top w:val="single" w:sz="4" w:space="10" w:color="00A788" w:themeColor="accent1"/>
        <w:bottom w:val="single" w:sz="4" w:space="10" w:color="00A788" w:themeColor="accent1"/>
      </w:pBdr>
      <w:spacing w:before="360" w:after="360"/>
      <w:ind w:left="864" w:right="864"/>
      <w:jc w:val="center"/>
    </w:pPr>
    <w:rPr>
      <w:iCs/>
      <w:color w:val="8A1A9B"/>
    </w:rPr>
  </w:style>
  <w:style w:type="character" w:customStyle="1" w:styleId="IntenseQuoteChar">
    <w:name w:val="Intense Quote Char"/>
    <w:basedOn w:val="DefaultParagraphFont"/>
    <w:link w:val="IntenseQuote"/>
    <w:uiPriority w:val="30"/>
    <w:rsid w:val="00F64DD8"/>
    <w:rPr>
      <w:rFonts w:ascii="Arial" w:hAnsi="Arial"/>
      <w:iCs/>
      <w:color w:val="8A1A9B"/>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character" w:styleId="CommentReference">
    <w:name w:val="annotation reference"/>
    <w:basedOn w:val="DefaultParagraphFont"/>
    <w:uiPriority w:val="99"/>
    <w:semiHidden/>
    <w:unhideWhenUsed/>
    <w:rsid w:val="008E3656"/>
    <w:rPr>
      <w:sz w:val="16"/>
      <w:szCs w:val="16"/>
    </w:rPr>
  </w:style>
  <w:style w:type="paragraph" w:styleId="CommentText">
    <w:name w:val="annotation text"/>
    <w:basedOn w:val="Normal"/>
    <w:link w:val="CommentTextChar"/>
    <w:uiPriority w:val="99"/>
    <w:semiHidden/>
    <w:unhideWhenUsed/>
    <w:rsid w:val="008E3656"/>
    <w:pPr>
      <w:spacing w:after="160"/>
    </w:pPr>
    <w:rPr>
      <w:rFonts w:asciiTheme="minorHAnsi" w:hAnsiTheme="minorHAnsi"/>
      <w:color w:val="auto"/>
      <w:sz w:val="20"/>
      <w:szCs w:val="20"/>
    </w:rPr>
  </w:style>
  <w:style w:type="character" w:customStyle="1" w:styleId="CommentTextChar">
    <w:name w:val="Comment Text Char"/>
    <w:basedOn w:val="DefaultParagraphFont"/>
    <w:link w:val="CommentText"/>
    <w:uiPriority w:val="99"/>
    <w:semiHidden/>
    <w:rsid w:val="008E3656"/>
    <w:rPr>
      <w:sz w:val="20"/>
      <w:szCs w:val="20"/>
    </w:rPr>
  </w:style>
  <w:style w:type="character" w:customStyle="1" w:styleId="Heading3Char">
    <w:name w:val="Heading 3 Char"/>
    <w:basedOn w:val="DefaultParagraphFont"/>
    <w:link w:val="Heading3"/>
    <w:uiPriority w:val="9"/>
    <w:rsid w:val="00FE05B2"/>
    <w:rPr>
      <w:rFonts w:asciiTheme="majorHAnsi" w:eastAsiaTheme="majorEastAsia" w:hAnsiTheme="majorHAnsi" w:cstheme="majorBidi"/>
      <w:color w:val="042987" w:themeColor="accent3" w:themeShade="80"/>
    </w:rPr>
  </w:style>
  <w:style w:type="table" w:styleId="TableGrid">
    <w:name w:val="Table Grid"/>
    <w:basedOn w:val="TableNormal"/>
    <w:uiPriority w:val="39"/>
    <w:rsid w:val="00E03F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3632F"/>
    <w:pPr>
      <w:spacing w:line="259" w:lineRule="auto"/>
      <w:outlineLvl w:val="9"/>
    </w:pPr>
    <w:rPr>
      <w:rFonts w:asciiTheme="majorHAnsi" w:hAnsiTheme="majorHAnsi"/>
      <w:b w:val="0"/>
      <w:color w:val="007D65" w:themeColor="accent1" w:themeShade="BF"/>
      <w:sz w:val="32"/>
      <w:lang w:val="en-US"/>
    </w:rPr>
  </w:style>
  <w:style w:type="paragraph" w:styleId="TOC1">
    <w:name w:val="toc 1"/>
    <w:basedOn w:val="Normal"/>
    <w:next w:val="Normal"/>
    <w:autoRedefine/>
    <w:uiPriority w:val="39"/>
    <w:unhideWhenUsed/>
    <w:rsid w:val="0013632F"/>
    <w:pPr>
      <w:spacing w:after="100"/>
    </w:pPr>
  </w:style>
  <w:style w:type="paragraph" w:styleId="TOC2">
    <w:name w:val="toc 2"/>
    <w:basedOn w:val="Normal"/>
    <w:next w:val="Normal"/>
    <w:autoRedefine/>
    <w:uiPriority w:val="39"/>
    <w:unhideWhenUsed/>
    <w:rsid w:val="0013632F"/>
    <w:pPr>
      <w:spacing w:after="100"/>
      <w:ind w:left="240"/>
    </w:pPr>
  </w:style>
  <w:style w:type="paragraph" w:styleId="TOC3">
    <w:name w:val="toc 3"/>
    <w:basedOn w:val="Normal"/>
    <w:next w:val="Normal"/>
    <w:autoRedefine/>
    <w:uiPriority w:val="39"/>
    <w:unhideWhenUsed/>
    <w:rsid w:val="00F105AB"/>
    <w:pPr>
      <w:spacing w:after="100"/>
      <w:ind w:left="480"/>
    </w:pPr>
  </w:style>
  <w:style w:type="paragraph" w:styleId="CommentSubject">
    <w:name w:val="annotation subject"/>
    <w:basedOn w:val="CommentText"/>
    <w:next w:val="CommentText"/>
    <w:link w:val="CommentSubjectChar"/>
    <w:uiPriority w:val="99"/>
    <w:semiHidden/>
    <w:unhideWhenUsed/>
    <w:rsid w:val="00DF04C3"/>
    <w:pPr>
      <w:spacing w:after="0"/>
    </w:pPr>
    <w:rPr>
      <w:rFonts w:ascii="Arial" w:hAnsi="Arial"/>
      <w:b/>
      <w:bCs/>
      <w:color w:val="595959"/>
    </w:rPr>
  </w:style>
  <w:style w:type="character" w:customStyle="1" w:styleId="CommentSubjectChar">
    <w:name w:val="Comment Subject Char"/>
    <w:basedOn w:val="CommentTextChar"/>
    <w:link w:val="CommentSubject"/>
    <w:uiPriority w:val="99"/>
    <w:semiHidden/>
    <w:rsid w:val="00DF04C3"/>
    <w:rPr>
      <w:rFonts w:ascii="Arial" w:hAnsi="Arial"/>
      <w:b/>
      <w:bCs/>
      <w:color w:val="595959"/>
      <w:sz w:val="20"/>
      <w:szCs w:val="20"/>
    </w:rPr>
  </w:style>
  <w:style w:type="paragraph" w:styleId="Revision">
    <w:name w:val="Revision"/>
    <w:hidden/>
    <w:uiPriority w:val="99"/>
    <w:semiHidden/>
    <w:rsid w:val="00E0329C"/>
    <w:rPr>
      <w:rFonts w:ascii="Arial" w:hAnsi="Arial"/>
      <w:color w:val="59595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8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shrm.org/hr-today/news/all-things-work/pages/how-to-avoid-ageism.aspx" TargetMode="External"/><Relationship Id="rId3" Type="http://schemas.openxmlformats.org/officeDocument/2006/relationships/customXml" Target="../customXml/item3.xml"/><Relationship Id="rId21" Type="http://schemas.openxmlformats.org/officeDocument/2006/relationships/hyperlink" Target="https://equalityhumanrights.com/en/advice-and-guidance/race-discrimination"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geniuswithin.org/our-services/advisory-services/neuro-inclusive-recruitm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eni.ie/wp-content/uploads/2019/11/Supporting-Transgender-Inclusion-in-the-Workplace-Guidelines-for-Employers.pdf" TargetMode="External"/><Relationship Id="rId20" Type="http://schemas.openxmlformats.org/officeDocument/2006/relationships/hyperlink" Target="https://spectrumconnecttherapy.com/what-is-stimming-and-why-do-neurodivergent-people-do-i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genderedintelligence.co.uk/professionals/resources.html" TargetMode="External"/><Relationship Id="rId23" Type="http://schemas.openxmlformats.org/officeDocument/2006/relationships/hyperlink" Target="https://forms.office.com/e/LXLZutBHpu" TargetMode="External"/><Relationship Id="rId10" Type="http://schemas.openxmlformats.org/officeDocument/2006/relationships/footnotes" Target="footnotes.xml"/><Relationship Id="rId19" Type="http://schemas.openxmlformats.org/officeDocument/2006/relationships/hyperlink" Target="https://royalsociety.org/-/media/policy/Publications/2021/2021-02-12-research-and-technical-workforce-in-the-uk.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ukri.org/wp-content/uploads/2022/12/UKRI-151222-Main-report-UKRI-diversity-data-for-funding-applicants-and-awardees-2020-to-2021-update.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DIHR@ukr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KRI theme">
      <a:dk1>
        <a:srgbClr val="000000"/>
      </a:dk1>
      <a:lt1>
        <a:srgbClr val="FFFFFF"/>
      </a:lt1>
      <a:dk2>
        <a:srgbClr val="44546A"/>
      </a:dk2>
      <a:lt2>
        <a:srgbClr val="E7E6E6"/>
      </a:lt2>
      <a:accent1>
        <a:srgbClr val="00A788"/>
      </a:accent1>
      <a:accent2>
        <a:srgbClr val="00BED5"/>
      </a:accent2>
      <a:accent3>
        <a:srgbClr val="1E5DF8"/>
      </a:accent3>
      <a:accent4>
        <a:srgbClr val="2E2C51"/>
      </a:accent4>
      <a:accent5>
        <a:srgbClr val="34D5AE"/>
      </a:accent5>
      <a:accent6>
        <a:srgbClr val="67C04D"/>
      </a:accent6>
      <a:hlink>
        <a:srgbClr val="676767"/>
      </a:hlink>
      <a:folHlink>
        <a:srgbClr val="BE2B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6ebd4db-6f78-4d9b-a8bd-dda683c55855">SSVJ533UJCM2-2088875932-20699</_dlc_DocId>
    <_dlc_DocIdUrl xmlns="36ebd4db-6f78-4d9b-a8bd-dda683c55855">
      <Url>https://ukri.sharepoint.com/sites/og_SP-Grants/_layouts/15/DocIdRedir.aspx?ID=SSVJ533UJCM2-2088875932-20699</Url>
      <Description>SSVJ533UJCM2-2088875932-20699</Description>
    </_dlc_DocIdUrl>
    <SharedWithUsers xmlns="36ebd4db-6f78-4d9b-a8bd-dda683c55855">
      <UserInfo>
        <DisplayName>Jo O'Leary - UKRI</DisplayName>
        <AccountId>28</AccountId>
        <AccountType/>
      </UserInfo>
      <UserInfo>
        <DisplayName>Catherine Abe - UKRI</DisplayName>
        <AccountId>12</AccountId>
        <AccountType/>
      </UserInfo>
    </SharedWithUsers>
    <Tobecompletedby xmlns="4069d3dd-aad9-4e38-b1c0-16c2c423882e" xsi:nil="true"/>
    <TaxCatchAll xmlns="2e24dfb7-a69e-40eb-b94f-44b9ca9c25ed" xsi:nil="true"/>
    <SignedOffBy xmlns="4069d3dd-aad9-4e38-b1c0-16c2c423882e" xsi:nil="true"/>
    <Number xmlns="4069d3dd-aad9-4e38-b1c0-16c2c423882e" xsi:nil="true"/>
    <RouteQueriesTo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2" ma:contentTypeDescription="Create a new document." ma:contentTypeScope="" ma:versionID="c24a81449f5f32ef37f3e0b1b71880ba">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a6e1b5feecc4dadcec4d6824663209d9"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0E25C5-BD44-4E2A-939E-DD4DE970574E}">
  <ds:schemaRefs>
    <ds:schemaRef ds:uri="http://www.w3.org/XML/1998/namespace"/>
    <ds:schemaRef ds:uri="4069d3dd-aad9-4e38-b1c0-16c2c423882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36ebd4db-6f78-4d9b-a8bd-dda683c55855"/>
    <ds:schemaRef ds:uri="http://schemas.openxmlformats.org/package/2006/metadata/core-properties"/>
    <ds:schemaRef ds:uri="2e24dfb7-a69e-40eb-b94f-44b9ca9c25ed"/>
    <ds:schemaRef ds:uri="http://purl.org/dc/dcmitype/"/>
  </ds:schemaRefs>
</ds:datastoreItem>
</file>

<file path=customXml/itemProps2.xml><?xml version="1.0" encoding="utf-8"?>
<ds:datastoreItem xmlns:ds="http://schemas.openxmlformats.org/officeDocument/2006/customXml" ds:itemID="{49EF0596-C56C-4761-8D20-BF2D6F8C6EB0}">
  <ds:schemaRefs>
    <ds:schemaRef ds:uri="http://schemas.microsoft.com/sharepoint/events"/>
  </ds:schemaRefs>
</ds:datastoreItem>
</file>

<file path=customXml/itemProps3.xml><?xml version="1.0" encoding="utf-8"?>
<ds:datastoreItem xmlns:ds="http://schemas.openxmlformats.org/officeDocument/2006/customXml" ds:itemID="{B69CCADB-3AFB-4E52-A301-957BE7771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92ABD2-EAF9-4205-8B7C-9B53AF4D014F}">
  <ds:schemaRefs>
    <ds:schemaRef ds:uri="http://schemas.openxmlformats.org/officeDocument/2006/bibliography"/>
  </ds:schemaRefs>
</ds:datastoreItem>
</file>

<file path=customXml/itemProps5.xml><?xml version="1.0" encoding="utf-8"?>
<ds:datastoreItem xmlns:ds="http://schemas.openxmlformats.org/officeDocument/2006/customXml" ds:itemID="{2006E8D1-01CF-4A16-8B20-0F84EBBDF6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3498</Words>
  <Characters>19944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23396</CharactersWithSpaces>
  <SharedDoc>false</SharedDoc>
  <HLinks>
    <vt:vector size="60" baseType="variant">
      <vt:variant>
        <vt:i4>5963794</vt:i4>
      </vt:variant>
      <vt:variant>
        <vt:i4>24</vt:i4>
      </vt:variant>
      <vt:variant>
        <vt:i4>0</vt:i4>
      </vt:variant>
      <vt:variant>
        <vt:i4>5</vt:i4>
      </vt:variant>
      <vt:variant>
        <vt:lpwstr>https://forms.office.com/e/LXLZutBHpu</vt:lpwstr>
      </vt:variant>
      <vt:variant>
        <vt:lpwstr/>
      </vt:variant>
      <vt:variant>
        <vt:i4>2490467</vt:i4>
      </vt:variant>
      <vt:variant>
        <vt:i4>21</vt:i4>
      </vt:variant>
      <vt:variant>
        <vt:i4>0</vt:i4>
      </vt:variant>
      <vt:variant>
        <vt:i4>5</vt:i4>
      </vt:variant>
      <vt:variant>
        <vt:lpwstr>https://www.ukri.org/wp-content/uploads/2022/12/UKRI-151222-Main-report-UKRI-diversity-data-for-funding-applicants-and-awardees-2020-to-2021-update.pdf</vt:lpwstr>
      </vt:variant>
      <vt:variant>
        <vt:lpwstr/>
      </vt:variant>
      <vt:variant>
        <vt:i4>3407906</vt:i4>
      </vt:variant>
      <vt:variant>
        <vt:i4>18</vt:i4>
      </vt:variant>
      <vt:variant>
        <vt:i4>0</vt:i4>
      </vt:variant>
      <vt:variant>
        <vt:i4>5</vt:i4>
      </vt:variant>
      <vt:variant>
        <vt:lpwstr>https://equalityhumanrights.com/en/advice-and-guidance/race-discrimination</vt:lpwstr>
      </vt:variant>
      <vt:variant>
        <vt:lpwstr/>
      </vt:variant>
      <vt:variant>
        <vt:i4>8126588</vt:i4>
      </vt:variant>
      <vt:variant>
        <vt:i4>15</vt:i4>
      </vt:variant>
      <vt:variant>
        <vt:i4>0</vt:i4>
      </vt:variant>
      <vt:variant>
        <vt:i4>5</vt:i4>
      </vt:variant>
      <vt:variant>
        <vt:lpwstr>https://spectrumconnecttherapy.com/what-is-stimming-and-why-do-neurodivergent-people-do-it/</vt:lpwstr>
      </vt:variant>
      <vt:variant>
        <vt:lpwstr/>
      </vt:variant>
      <vt:variant>
        <vt:i4>3997794</vt:i4>
      </vt:variant>
      <vt:variant>
        <vt:i4>12</vt:i4>
      </vt:variant>
      <vt:variant>
        <vt:i4>0</vt:i4>
      </vt:variant>
      <vt:variant>
        <vt:i4>5</vt:i4>
      </vt:variant>
      <vt:variant>
        <vt:lpwstr>https://royalsociety.org/-/media/policy/Publications/2021/2021-02-12-research-and-technical-workforce-in-the-uk.pdf</vt:lpwstr>
      </vt:variant>
      <vt:variant>
        <vt:lpwstr/>
      </vt:variant>
      <vt:variant>
        <vt:i4>720967</vt:i4>
      </vt:variant>
      <vt:variant>
        <vt:i4>9</vt:i4>
      </vt:variant>
      <vt:variant>
        <vt:i4>0</vt:i4>
      </vt:variant>
      <vt:variant>
        <vt:i4>5</vt:i4>
      </vt:variant>
      <vt:variant>
        <vt:lpwstr>https://www.shrm.org/hr-today/news/all-things-work/pages/how-to-avoid-ageism.aspx</vt:lpwstr>
      </vt:variant>
      <vt:variant>
        <vt:lpwstr/>
      </vt:variant>
      <vt:variant>
        <vt:i4>5046336</vt:i4>
      </vt:variant>
      <vt:variant>
        <vt:i4>6</vt:i4>
      </vt:variant>
      <vt:variant>
        <vt:i4>0</vt:i4>
      </vt:variant>
      <vt:variant>
        <vt:i4>5</vt:i4>
      </vt:variant>
      <vt:variant>
        <vt:lpwstr>https://geniuswithin.org/our-services/advisory-services/neuro-inclusive-recruitment/</vt:lpwstr>
      </vt:variant>
      <vt:variant>
        <vt:lpwstr/>
      </vt:variant>
      <vt:variant>
        <vt:i4>5373961</vt:i4>
      </vt:variant>
      <vt:variant>
        <vt:i4>3</vt:i4>
      </vt:variant>
      <vt:variant>
        <vt:i4>0</vt:i4>
      </vt:variant>
      <vt:variant>
        <vt:i4>5</vt:i4>
      </vt:variant>
      <vt:variant>
        <vt:lpwstr>https://teni.ie/wp-content/uploads/2019/11/Supporting-Transgender-Inclusion-in-the-Workplace-Guidelines-for-Employers.pdf</vt:lpwstr>
      </vt:variant>
      <vt:variant>
        <vt:lpwstr/>
      </vt:variant>
      <vt:variant>
        <vt:i4>4063272</vt:i4>
      </vt:variant>
      <vt:variant>
        <vt:i4>0</vt:i4>
      </vt:variant>
      <vt:variant>
        <vt:i4>0</vt:i4>
      </vt:variant>
      <vt:variant>
        <vt:i4>5</vt:i4>
      </vt:variant>
      <vt:variant>
        <vt:lpwstr>https://genderedintelligence.co.uk/professionals/resources.html</vt:lpwstr>
      </vt:variant>
      <vt:variant>
        <vt:lpwstr/>
      </vt:variant>
      <vt:variant>
        <vt:i4>4653163</vt:i4>
      </vt:variant>
      <vt:variant>
        <vt:i4>5</vt:i4>
      </vt:variant>
      <vt:variant>
        <vt:i4>0</vt:i4>
      </vt:variant>
      <vt:variant>
        <vt:i4>5</vt:i4>
      </vt:variant>
      <vt:variant>
        <vt:lpwstr>mailto:EDIHR@ukri.org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Clemency Hitchings - UKRI</dc:creator>
  <cp:keywords/>
  <dc:description/>
  <cp:lastModifiedBy>Kayleigh Gough - UKRI</cp:lastModifiedBy>
  <cp:revision>2</cp:revision>
  <dcterms:created xsi:type="dcterms:W3CDTF">2024-04-03T13:13:00Z</dcterms:created>
  <dcterms:modified xsi:type="dcterms:W3CDTF">2024-04-03T13:13:00Z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MediaServiceImageTags">
    <vt:lpwstr/>
  </property>
  <property fmtid="{D5CDD505-2E9C-101B-9397-08002B2CF9AE}" pid="4" name="_dlc_DocIdItemGuid">
    <vt:lpwstr>51cd3772-b6bc-48ba-a41e-2394f05a4463</vt:lpwstr>
  </property>
</Properties>
</file>